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ns1="http://schemas.openxmlformats.org/markup-compatibility/2006" xmlns:ns2="http://schemas.openxmlformats.org/drawingml/2006/wordprocessingDrawing" xmlns:ns3="http://schemas.openxmlformats.org/drawingml/2006/main" xmlns:ns4="http://schemas.openxmlformats.org/drawingml/2006/picture" xmlns:ns5="http://schemas.openxmlformats.org/officeDocument/2006/relationships" xmlns:w="http://schemas.openxmlformats.org/wordprocessingml/2006/main" ns1:Ignorable="w14 wp14">
  <w:body>
    <w:p>
      <w:pPr>
        <w:pStyle w:val="Title"/>
        <w:shd w:fill="F5F7F7"/>
        <w:keepLines w:val="1"/>
        <w:pBdr>
          <w:left w:val="single" w:sz="28" w:space="8" w:color="F28C28"/>
        </w:pBdr>
        <w:ind w:left="283"/>
        <w:widowControl w:val="1"/>
        <w:keepNext w:val="1"/>
      </w:pPr>
      <w:r>
        <w:rPr>
          <w:rFonts w:ascii="Inter SemiBold" w:hAnsi="Inter SemiBold" w:eastAsia="Inter SemiBold" w:cs="Inter SemiBold"/>
          <w:b/>
          <w:i w:val="0"/>
          <w:color w:val="000000"/>
          <w:sz w:val="52"/>
          <w:lang w:val="ru-RU" w:eastAsia="ru-RU" w:bidi="ru-RU"/>
        </w:rPr>
        <w:t>Договор оказания услуг по обследованию производственной площадки</w:t>
      </w:r>
    </w:p>
    <w:p>
      <w:pPr>
        <w:pStyle w:val="Subtitle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Универсальный заполняемый шаблон БИОСТРАТ</w:t>
      </w:r>
    </w:p>
    <w:p>
      <w:pPr>
        <w:pStyle w:val="Heading3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Определимый объём · доказуемая приёмка · управляемые риски</w:t>
      </w: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Ind w:w="0" w:type="dxa"/>
      </w:tblPr>
      <w:tblGrid>
        <w:gridCol w:w="1928"/>
        <w:gridCol w:w="8163"/>
      </w:tblGrid>
      <w:tr>
        <w:trPr>
          <w:cantSplit w:val="1"/>
          <w:tblHeader w:val="true"/>
        </w:trPr>
        <w:tc>
          <w:tcPr>
            <w:tcW w:type="dxa" w:w="1928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5F7F7"/>
            <w:tcBorders>
              <w:top w:val="single" w:sz="4" w:color="D7DCDF"/>
              <w:start w:val="single" w:sz="4" w:color="D7DCDF"/>
              <w:bottom w:val="single" w:sz="4" w:color="D7DCDF"/>
              <w:end w:val="single" w:sz="4" w:color="D7DCDF"/>
              <w:insideH w:val="single" w:sz="4" w:color="D7DCDF"/>
              <w:insideV w:val="single" w:sz="4" w:color="D7DCDF"/>
            </w:tcBorders>
          </w:tcPr>
          <w:p>
            <w:pPr>
              <w:keepLines w:val="1"/>
              <w:spacing w:after="0"/>
              <w:widowControl w:val="1"/>
            </w:pPr>
            <w:r>
              <w:rPr>
                <w:rFonts w:ascii="Inter Medium" w:hAnsi="Inter Medium" w:eastAsia="Inter Medium" w:cs="Inter Medium"/>
                <w:b/>
                <w:i w:val="0"/>
                <w:color w:val="2E7D32"/>
                <w:sz w:val="14"/>
                <w:lang w:val="ru-RU" w:eastAsia="ru-RU" w:bidi="ru-RU"/>
              </w:rPr>
              <w:t>Статус документа</w:t>
            </w:r>
          </w:p>
        </w:tc>
        <w:tc>
          <w:tcPr>
            <w:tcW w:type="dxa" w:w="8163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  <w:tcBorders>
              <w:top w:val="single" w:sz="4" w:color="D7DCDF"/>
              <w:start w:val="single" w:sz="4" w:color="D7DCDF"/>
              <w:bottom w:val="single" w:sz="4" w:color="D7DCDF"/>
              <w:end w:val="single" w:sz="4" w:color="D7DCDF"/>
              <w:insideH w:val="single" w:sz="4" w:color="D7DCDF"/>
              <w:insideV w:val="single" w:sz="4" w:color="D7DCDF"/>
            </w:tcBorders>
          </w:tcPr>
          <w:p>
            <w:pPr>
              <w:keepLines w:val="1"/>
              <w:spacing w:after="0"/>
              <w:widowControl w:val="1"/>
            </w:pPr>
            <w:r>
              <w:rPr>
                <w:rFonts w:ascii="Inter Medium" w:hAnsi="Inter Medium" w:eastAsia="Inter Medium" w:cs="Inter Medium"/>
                <w:b/>
                <w:i w:val="0"/>
                <w:color w:val="2D3136"/>
                <w:sz w:val="15"/>
                <w:lang w:val="ru-RU" w:eastAsia="ru-RU" w:bidi="ru-RU"/>
              </w:rPr>
              <w:t>УТВЕРЖДЕНО</w:t>
            </w:r>
          </w:p>
        </w:tc>
      </w:tr>
      <w:tr>
        <w:trPr>
          <w:cantSplit w:val="1"/>
        </w:trPr>
        <w:tc>
          <w:tcPr>
            <w:tcW w:type="dxa" w:w="1928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5F7F7"/>
            <w:tcBorders>
              <w:top w:val="single" w:sz="4" w:color="D7DCDF"/>
              <w:start w:val="single" w:sz="4" w:color="D7DCDF"/>
              <w:bottom w:val="single" w:sz="4" w:color="D7DCDF"/>
              <w:end w:val="single" w:sz="4" w:color="D7DCDF"/>
              <w:insideH w:val="single" w:sz="4" w:color="D7DCDF"/>
              <w:insideV w:val="single" w:sz="4" w:color="D7DCDF"/>
            </w:tcBorders>
          </w:tcPr>
          <w:p>
            <w:pPr>
              <w:keepLines w:val="1"/>
              <w:spacing w:after="0"/>
              <w:widowControl w:val="1"/>
            </w:pPr>
            <w:r>
              <w:rPr>
                <w:rFonts w:ascii="Inter Medium" w:hAnsi="Inter Medium" w:eastAsia="Inter Medium" w:cs="Inter Medium"/>
                <w:b/>
                <w:i w:val="0"/>
                <w:color w:val="2E7D32"/>
                <w:sz w:val="14"/>
                <w:lang w:val="ru-RU" w:eastAsia="ru-RU" w:bidi="ru-RU"/>
              </w:rPr>
              <w:t>Дата утверждения</w:t>
            </w:r>
          </w:p>
        </w:tc>
        <w:tc>
          <w:tcPr>
            <w:tcW w:type="dxa" w:w="8163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  <w:tcBorders>
              <w:top w:val="single" w:sz="4" w:color="D7DCDF"/>
              <w:start w:val="single" w:sz="4" w:color="D7DCDF"/>
              <w:bottom w:val="single" w:sz="4" w:color="D7DCDF"/>
              <w:end w:val="single" w:sz="4" w:color="D7DCDF"/>
              <w:insideH w:val="single" w:sz="4" w:color="D7DCDF"/>
              <w:insideV w:val="single" w:sz="4" w:color="D7DCDF"/>
            </w:tcBorders>
          </w:tcPr>
          <w:p>
            <w:pPr>
              <w:keepLines w:val="1"/>
              <w:spacing w:after="0"/>
              <w:widowControl w:val="1"/>
            </w:pPr>
            <w:r>
              <w:rPr>
                <w:rFonts w:ascii="Inter Medium" w:hAnsi="Inter Medium" w:eastAsia="Inter Medium" w:cs="Inter Medium"/>
                <w:b w:val="0"/>
                <w:i w:val="0"/>
                <w:color w:val="2D3136"/>
                <w:sz w:val="15"/>
                <w:lang w:val="ru-RU" w:eastAsia="ru-RU" w:bidi="ru-RU"/>
              </w:rPr>
              <w:t>07.09.2026</w:t>
            </w:r>
          </w:p>
        </w:tc>
      </w:tr>
      <w:tr>
        <w:trPr>
          <w:cantSplit w:val="1"/>
        </w:trPr>
        <w:tc>
          <w:tcPr>
            <w:tcW w:type="dxa" w:w="1928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5F7F7"/>
            <w:tcBorders>
              <w:top w:val="single" w:sz="4" w:color="D7DCDF"/>
              <w:start w:val="single" w:sz="4" w:color="D7DCDF"/>
              <w:bottom w:val="single" w:sz="4" w:color="D7DCDF"/>
              <w:end w:val="single" w:sz="4" w:color="D7DCDF"/>
              <w:insideH w:val="single" w:sz="4" w:color="D7DCDF"/>
              <w:insideV w:val="single" w:sz="4" w:color="D7DCDF"/>
            </w:tcBorders>
          </w:tcPr>
          <w:p>
            <w:pPr>
              <w:keepLines w:val="1"/>
              <w:spacing w:after="0"/>
              <w:widowControl w:val="1"/>
            </w:pPr>
            <w:r>
              <w:rPr>
                <w:rFonts w:ascii="Inter Medium" w:hAnsi="Inter Medium" w:eastAsia="Inter Medium" w:cs="Inter Medium"/>
                <w:b/>
                <w:i w:val="0"/>
                <w:color w:val="2E7D32"/>
                <w:sz w:val="14"/>
                <w:lang w:val="ru-RU" w:eastAsia="ru-RU" w:bidi="ru-RU"/>
              </w:rPr>
              <w:t>Статус публикации</w:t>
            </w:r>
          </w:p>
        </w:tc>
        <w:tc>
          <w:tcPr>
            <w:tcW w:type="dxa" w:w="8163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  <w:tcBorders>
              <w:top w:val="single" w:sz="4" w:color="D7DCDF"/>
              <w:start w:val="single" w:sz="4" w:color="D7DCDF"/>
              <w:bottom w:val="single" w:sz="4" w:color="D7DCDF"/>
              <w:end w:val="single" w:sz="4" w:color="D7DCDF"/>
              <w:insideH w:val="single" w:sz="4" w:color="D7DCDF"/>
              <w:insideV w:val="single" w:sz="4" w:color="D7DCDF"/>
            </w:tcBorders>
          </w:tcPr>
          <w:p>
            <w:pPr>
              <w:keepLines w:val="1"/>
              <w:spacing w:after="0"/>
              <w:widowControl w:val="1"/>
            </w:pPr>
            <w:r>
              <w:rPr>
                <w:rFonts w:ascii="Inter Medium" w:hAnsi="Inter Medium" w:eastAsia="Inter Medium" w:cs="Inter Medium"/>
                <w:b w:val="0"/>
                <w:i w:val="0"/>
                <w:color w:val="2D3136"/>
                <w:sz w:val="15"/>
                <w:lang w:val="ru-RU" w:eastAsia="ru-RU" w:bidi="ru-RU"/>
              </w:rPr>
              <w:t>УТВЕРЖДЕНО</w:t>
            </w:r>
          </w:p>
        </w:tc>
      </w:tr>
      <w:tr>
        <w:trPr>
          <w:cantSplit w:val="1"/>
        </w:trPr>
        <w:tc>
          <w:tcPr>
            <w:tcW w:type="dxa" w:w="1928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5F7F7"/>
            <w:tcBorders>
              <w:top w:val="single" w:sz="4" w:color="D7DCDF"/>
              <w:start w:val="single" w:sz="4" w:color="D7DCDF"/>
              <w:bottom w:val="single" w:sz="4" w:color="D7DCDF"/>
              <w:end w:val="single" w:sz="4" w:color="D7DCDF"/>
              <w:insideH w:val="single" w:sz="4" w:color="D7DCDF"/>
              <w:insideV w:val="single" w:sz="4" w:color="D7DCDF"/>
            </w:tcBorders>
          </w:tcPr>
          <w:p>
            <w:pPr>
              <w:keepLines w:val="1"/>
              <w:spacing w:after="0"/>
              <w:widowControl w:val="1"/>
            </w:pPr>
            <w:r>
              <w:rPr>
                <w:rFonts w:ascii="Inter Medium" w:hAnsi="Inter Medium" w:eastAsia="Inter Medium" w:cs="Inter Medium"/>
                <w:b/>
                <w:i w:val="0"/>
                <w:color w:val="2E7D32"/>
                <w:sz w:val="14"/>
                <w:lang w:val="ru-RU" w:eastAsia="ru-RU" w:bidi="ru-RU"/>
              </w:rPr>
              <w:t>Назначение / аудитория</w:t>
            </w:r>
          </w:p>
        </w:tc>
        <w:tc>
          <w:tcPr>
            <w:tcW w:type="dxa" w:w="8163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  <w:tcBorders>
              <w:top w:val="single" w:sz="4" w:color="D7DCDF"/>
              <w:start w:val="single" w:sz="4" w:color="D7DCDF"/>
              <w:bottom w:val="single" w:sz="4" w:color="D7DCDF"/>
              <w:end w:val="single" w:sz="4" w:color="D7DCDF"/>
              <w:insideH w:val="single" w:sz="4" w:color="D7DCDF"/>
              <w:insideV w:val="single" w:sz="4" w:color="D7DCDF"/>
            </w:tcBorders>
          </w:tcPr>
          <w:p>
            <w:pPr>
              <w:keepLines w:val="1"/>
              <w:spacing w:after="0"/>
              <w:widowControl w:val="1"/>
            </w:pPr>
            <w:r>
              <w:rPr>
                <w:rFonts w:ascii="Inter Medium" w:hAnsi="Inter Medium" w:eastAsia="Inter Medium" w:cs="Inter Medium"/>
                <w:b w:val="0"/>
                <w:i w:val="0"/>
                <w:color w:val="2D3136"/>
                <w:sz w:val="15"/>
                <w:lang w:val="ru-RU" w:eastAsia="ru-RU" w:bidi="ru-RU"/>
              </w:rPr>
              <w:t>АО «НПО «БИОСТРАТЕГИЯ» и промышленные партнёры</w:t>
            </w:r>
          </w:p>
        </w:tc>
      </w:tr>
    </w:tbl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Карточка договора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Параметр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Значение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Номер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CONTRACT_NO"/>
                <w:alias w:val="CONTRACT_NO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Место заключения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CITY"/>
                <w:alias w:val="CITY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Дата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CONTRACT_DATE"/>
                <w:alias w:val="CONTRACT_DATE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Производственная площадка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SITE_NAME"/>
                <w:alias w:val="SITE_NAME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Срок оказания услуг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SERVICE_DAYS"/>
                <w:alias w:val="SERVICE_DAYS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  <w:r>
              <w:rPr>
                <w:lang w:val="ru-RU" w:eastAsia="ru-RU" w:bidi="ru-RU"/>
              </w:rPr>
              <w:t xml:space="preserve"> рабочих дней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Цена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PRICE"/>
                <w:alias w:val="PRICE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  <w:r>
              <w:rPr>
                <w:lang w:val="ru-RU" w:eastAsia="ru-RU" w:bidi="ru-RU"/>
              </w:rPr>
              <w:t xml:space="preserve"> руб., включая НДС </w:t>
            </w:r>
            <w:sdt>
              <w:sdtPr>
                <w:tag w:val="VAT_RATE"/>
                <w:alias w:val="VAT_RATE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  <w:r>
              <w:rPr>
                <w:lang w:val="ru-RU" w:eastAsia="ru-RU" w:bidi="ru-RU"/>
              </w:rPr>
              <w:t xml:space="preserve">% — </w:t>
            </w:r>
            <w:sdt>
              <w:sdtPr>
                <w:tag w:val="VAT_AMOUNT"/>
                <w:alias w:val="VAT_AMOUNT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  <w:r>
              <w:rPr>
                <w:lang w:val="ru-RU" w:eastAsia="ru-RU" w:bidi="ru-RU"/>
              </w:rPr>
              <w:t xml:space="preserve"> руб.</w:t>
            </w:r>
          </w:p>
        </w:tc>
      </w:tr>
    </w:tbl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Преамбула</w:t>
      </w:r>
    </w:p>
    <w:p>
      <w:pPr>
        <w:keepLines w:val="1"/>
        <w:widowControl w:val="1"/>
      </w:pPr>
      <w:sdt>
        <w:sdtPr>
          <w:tag w:val="CUSTOMER_FULL"/>
          <w:alias w:val="CUSTOMER_FULL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, в лице </w:t>
      </w:r>
      <w:sdt>
        <w:sdtPr>
          <w:tag w:val="CUSTOMER_REP"/>
          <w:alias w:val="CUSTOMER_REP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, действующего на основании </w:t>
      </w:r>
      <w:sdt>
        <w:sdtPr>
          <w:tag w:val="CUSTOMER_BASIS"/>
          <w:alias w:val="CUSTOMER_BASIS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>, именуемое далее «Заказчик», с одной стороны, и АКЦИОНЕРНОЕ ОБЩЕСТВО «НАУЧНО-ПРОИЗВОДСТВЕННОЕ ОБЪЕДИНЕНИЕ ПРОМЫШЛЕННЫХ ИННОВАЦИЙ В ОТРАСЛИ БИООРГАНИЧЕСКИХ УДОБРЕНИЙ», сокращённо АО «НПО «БИОСТРАТЕГИЯ», в лице генерального директора Кочерги Валентина Андреевича, действующего на основании Устава, именуемое далее «Исполнитель», с другой стороны, совместно именуемые «Стороны», заключили настоящий Договор.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1. Термины</w:t>
      </w:r>
    </w:p>
    <w:p>
      <w:pPr>
        <w:keepLines w:val="1"/>
        <w:widowControl w:val="1"/>
      </w:pPr>
      <w:r>
        <w:rPr>
          <w:lang w:val="ru-RU" w:eastAsia="ru-RU" w:bidi="ru-RU"/>
        </w:rPr>
        <w:t>1.1. Обследование — сбор, проверка в доступных пределах и систематизация исходных данных о сырье, площадке, зданиях, инфраструктуре, логистике и ограничениях для предварительной оценки возможности размещения комплекса по переработке птичьего помёта и иных согласованных органических материалов.</w:t>
      </w:r>
    </w:p>
    <w:p>
      <w:pPr>
        <w:keepLines w:val="1"/>
        <w:widowControl w:val="1"/>
      </w:pPr>
      <w:r>
        <w:rPr>
          <w:lang w:val="ru-RU" w:eastAsia="ru-RU" w:bidi="ru-RU"/>
        </w:rPr>
        <w:t>1.2. Отчёт — итоговый документ Исполнителя с перечнем изученных данных, выявленных ограничений, недостающих материалов и предварительными рекомендациями.</w:t>
      </w:r>
    </w:p>
    <w:p>
      <w:pPr>
        <w:keepLines w:val="1"/>
        <w:widowControl w:val="1"/>
      </w:pPr>
      <w:r>
        <w:rPr>
          <w:lang w:val="ru-RU" w:eastAsia="ru-RU" w:bidi="ru-RU"/>
        </w:rPr>
        <w:t>1.3. Анкета — заполненная Заказчиком полная расширенная анкета промышленного партнёра по форме Приложения № 2. Подписанная Анкета и перечисленные в ней материалы являются неотъемлемой частью Договора.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2. Предмет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2.1. Исполнитель оказывает услуги по обследованию площадки </w:t>
      </w:r>
      <w:sdt>
        <w:sdtPr>
          <w:tag w:val="SITE_ADDRESS"/>
          <w:alias w:val="SITE_ADDRESS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в объёме Приложения № 1, а Заказчик предоставляет исходные данные, доступ и содействие, принимает и оплачивает услуги.</w:t>
      </w:r>
    </w:p>
    <w:p>
      <w:pPr>
        <w:keepLines w:val="1"/>
        <w:widowControl w:val="1"/>
      </w:pPr>
      <w:r>
        <w:rPr>
          <w:lang w:val="ru-RU" w:eastAsia="ru-RU" w:bidi="ru-RU"/>
        </w:rPr>
        <w:t>2.2. Результат включает Отчёт, реестр полученных материалов, перечень недостающих данных и предварительное заключение о вариантах дальнейшей проработки.</w:t>
      </w:r>
    </w:p>
    <w:p>
      <w:pPr>
        <w:keepLines w:val="1"/>
        <w:widowControl w:val="1"/>
      </w:pPr>
      <w:r>
        <w:rPr>
          <w:lang w:val="ru-RU" w:eastAsia="ru-RU" w:bidi="ru-RU"/>
        </w:rPr>
        <w:t>2.3. Услуги не являются инженерными изысканиями, проектной документацией, экспертизой промышленной безопасности, экологическим аудитом, лабораторным исследованием или гарантией выдачи разрешения, строительства, производительности и экономического результата. Такие работы оформляются отдельно.</w:t>
      </w:r>
    </w:p>
    <w:p>
      <w:pPr>
        <w:keepLines w:val="1"/>
        <w:widowControl w:val="1"/>
      </w:pPr>
      <w:r>
        <w:rPr>
          <w:lang w:val="ru-RU" w:eastAsia="ru-RU" w:bidi="ru-RU"/>
        </w:rPr>
        <w:t>2.4. Исполнитель вправе опираться на данные Заказчика и третьих лиц без независимой проверки скрытых характеристик, если Приложение № 1 не предусматривает иное. Последствия неполных или недостоверных исходных данных относятся к риску Заказчика.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3. Исходные данные и Анкета</w:t>
      </w:r>
    </w:p>
    <w:p>
      <w:pPr>
        <w:keepLines w:val="1"/>
        <w:widowControl w:val="1"/>
      </w:pPr>
      <w:r>
        <w:rPr>
          <w:lang w:val="ru-RU" w:eastAsia="ru-RU" w:bidi="ru-RU"/>
        </w:rPr>
        <w:t>3.1. До начала срока Заказчик передаёт заполненную и подписанную Анкету, документы по её перечню и сведения, объективно необходимые для обследования.</w:t>
      </w:r>
    </w:p>
    <w:p>
      <w:pPr>
        <w:keepLines w:val="1"/>
        <w:widowControl w:val="1"/>
      </w:pPr>
      <w:r>
        <w:rPr>
          <w:lang w:val="ru-RU" w:eastAsia="ru-RU" w:bidi="ru-RU"/>
        </w:rPr>
        <w:t>3.2. Незаполненное поле Анкеты отмечается словами «нет данных» с указанием ответственного лица и плановой даты предоставления. Исполнитель вправе запросить уточнение и приостановить соответствующую часть услуг до его получения. Срок продлевается на период задержки без ответственности Исполнителя.</w:t>
      </w:r>
    </w:p>
    <w:p>
      <w:pPr>
        <w:keepLines w:val="1"/>
        <w:widowControl w:val="1"/>
      </w:pPr>
      <w:r>
        <w:rPr>
          <w:lang w:val="ru-RU" w:eastAsia="ru-RU" w:bidi="ru-RU"/>
        </w:rPr>
        <w:t>3.3. Заказчик заверяет, что вправе передавать сведения, документы и данные представителей; материалы точны в известной ему части и не нарушают права третьих лиц. Персональные данные и конфиденциальные сведения передаются только в необходимом объёме через согласованный защищённый способ.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4. Порядок оказания услуг</w:t>
      </w:r>
    </w:p>
    <w:p>
      <w:pPr>
        <w:keepLines w:val="1"/>
        <w:widowControl w:val="1"/>
      </w:pPr>
      <w:r>
        <w:rPr>
          <w:lang w:val="ru-RU" w:eastAsia="ru-RU" w:bidi="ru-RU"/>
        </w:rPr>
        <w:t>4.1. Услуги начинаются после наступления последнего из событий: поступление аванса, получение полной Анкеты и согласование даты доступа на площадку.</w:t>
      </w:r>
    </w:p>
    <w:p>
      <w:pPr>
        <w:keepLines w:val="1"/>
        <w:widowControl w:val="1"/>
      </w:pPr>
      <w:r>
        <w:rPr>
          <w:lang w:val="ru-RU" w:eastAsia="ru-RU" w:bidi="ru-RU"/>
        </w:rPr>
        <w:t>4.2. Исполнитель изучает материалы, проводит дистанционные консультации и, если предусмотрено Приложением № 1, выездное обследование без разрушающего контроля.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4.3. Заказчик не позднее чем за </w:t>
      </w:r>
      <w:sdt>
        <w:sdtPr>
          <w:tag w:val="ACCESS_NOTICE_DAYS"/>
          <w:alias w:val="ACCESS_NOTICE_DAYS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рабочих дней до выезда предоставляет правила пропускного режима, охраны труда, пожарной и биологической безопасности. Они обязательны после доведения под подпись и не могут содержать штрафы или обязанности, не согласованные Сторонами в письменном виде.</w:t>
      </w:r>
    </w:p>
    <w:p>
      <w:pPr>
        <w:keepLines w:val="1"/>
        <w:widowControl w:val="1"/>
      </w:pPr>
      <w:r>
        <w:rPr>
          <w:lang w:val="ru-RU" w:eastAsia="ru-RU" w:bidi="ru-RU"/>
        </w:rPr>
        <w:t>4.4. Заказчик обеспечивает законный доступ, сопровождающее лицо, безопасные условия, необходимые остановки оборудования и возможность фотофиксации согласованных объектов. Если фотофиксация запрещена, запрет фиксируется в Отчёте.</w:t>
      </w:r>
    </w:p>
    <w:p>
      <w:pPr>
        <w:keepLines w:val="1"/>
        <w:widowControl w:val="1"/>
      </w:pPr>
      <w:r>
        <w:rPr>
          <w:lang w:val="ru-RU" w:eastAsia="ru-RU" w:bidi="ru-RU"/>
        </w:rPr>
        <w:t>4.5. Исполнитель привлекает квалифицированных соисполнителей с сохранением ответственности за их действия. Доступ к конфиденциальным данным предоставляется им только в объёме задачи и при обязательстве о конфиденциальности.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5. Сроки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5.1. Срок оказания услуг — </w:t>
      </w:r>
      <w:sdt>
        <w:sdtPr>
          <w:tag w:val="SERVICE_DAYS"/>
          <w:alias w:val="SERVICE_DAYS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рабочих дней с даты начала по пункту 4.1.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5.2. Выезд планируется на </w:t>
      </w:r>
      <w:sdt>
        <w:sdtPr>
          <w:tag w:val="VISIT_DATE"/>
          <w:alias w:val="VISIT_DAT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>. Изменение даты подтверждается перепиской уполномоченных представителей и не требует дополнительного соглашения, если цена и общий объём не меняются.</w:t>
      </w:r>
    </w:p>
    <w:p>
      <w:pPr>
        <w:keepLines w:val="1"/>
        <w:widowControl w:val="1"/>
      </w:pPr>
      <w:r>
        <w:rPr>
          <w:lang w:val="ru-RU" w:eastAsia="ru-RU" w:bidi="ru-RU"/>
        </w:rPr>
        <w:t>5.3. Срок продлевается на документально подтверждённый период задержки исходных данных, доступа, ответа Заказчика или обстоятельств непреодолимой силы.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6. Цена и расчёты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6.1. Цена услуг составляет </w:t>
      </w:r>
      <w:sdt>
        <w:sdtPr>
          <w:tag w:val="PRICE"/>
          <w:alias w:val="PRIC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(</w:t>
      </w:r>
      <w:sdt>
        <w:sdtPr>
          <w:tag w:val="PRICE_WORDS"/>
          <w:alias w:val="PRICE_WORDS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) рублей, включая НДС по ставке </w:t>
      </w:r>
      <w:sdt>
        <w:sdtPr>
          <w:tag w:val="VAT_RATE"/>
          <w:alias w:val="VAT_RAT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% в сумме </w:t>
      </w:r>
      <w:sdt>
        <w:sdtPr>
          <w:tag w:val="VAT_AMOUNT"/>
          <w:alias w:val="VAT_AMOUNT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рублей. Если налоговый статус Исполнителя или обязательная ставка изменятся, Стороны применяют закон на дату реализации без увеличения цены, если письменно не согласовано иное.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6.2. Заказчик перечисляет аванс </w:t>
      </w:r>
      <w:sdt>
        <w:sdtPr>
          <w:tag w:val="ADVANCE_PERCENT"/>
          <w:alias w:val="ADVANCE_PERCENT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% в течение </w:t>
      </w:r>
      <w:sdt>
        <w:sdtPr>
          <w:tag w:val="PAYMENT_DAYS"/>
          <w:alias w:val="PAYMENT_DAYS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рабочих дней после получения счёта. Оставшаяся сумма уплачивается в течение </w:t>
      </w:r>
      <w:sdt>
        <w:sdtPr>
          <w:tag w:val="FINAL_PAYMENT_DAYS"/>
          <w:alias w:val="FINAL_PAYMENT_DAYS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рабочих дней после подписания Акта либо наступления приёмки по пункту 7.4.</w:t>
      </w:r>
    </w:p>
    <w:p>
      <w:pPr>
        <w:keepLines w:val="1"/>
        <w:widowControl w:val="1"/>
      </w:pPr>
      <w:r>
        <w:rPr>
          <w:lang w:val="ru-RU" w:eastAsia="ru-RU" w:bidi="ru-RU"/>
        </w:rPr>
        <w:t>6.3. В цену включены обычные расходы Исполнителя. Проезд, проживание, лабораторные исследования, инструментальные измерения и услуги третьих лиц оплачиваются только если прямо включены в Приложение № 1 или заранее согласованы письменно.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7. Сдача и приёмка</w:t>
      </w:r>
    </w:p>
    <w:p>
      <w:pPr>
        <w:keepLines w:val="1"/>
        <w:widowControl w:val="1"/>
      </w:pPr>
      <w:r>
        <w:rPr>
          <w:lang w:val="ru-RU" w:eastAsia="ru-RU" w:bidi="ru-RU"/>
        </w:rPr>
        <w:t>7.1. Исполнитель направляет Заказчику Отчёт и Акт по электронной почте или через согласованную систему электронного документооборота.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7.2. Заказчик в течение </w:t>
      </w:r>
      <w:sdt>
        <w:sdtPr>
          <w:tag w:val="ACCEPTANCE_DAYS"/>
          <w:alias w:val="ACCEPTANCE_DAYS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рабочих дней подписывает Акт либо направляет единый мотивированный перечень несоответствий конкретным требованиям Приложения № 1.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7.3. Исполнитель устраняет обоснованные несоответствия в течение </w:t>
      </w:r>
      <w:sdt>
        <w:sdtPr>
          <w:tag w:val="CURE_DAYS"/>
          <w:alias w:val="CURE_DAYS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рабочих дней либо согласовывает срок. Новые требования и изменение исходных данных оформляются как дополнительные услуги.</w:t>
      </w:r>
    </w:p>
    <w:p>
      <w:pPr>
        <w:keepLines w:val="1"/>
        <w:widowControl w:val="1"/>
      </w:pPr>
      <w:r>
        <w:rPr>
          <w:lang w:val="ru-RU" w:eastAsia="ru-RU" w:bidi="ru-RU"/>
        </w:rPr>
        <w:t>7.4. Если в срок по пункту 7.2 Заказчик не подписал Акт и не направил мотивированный отказ, услуги считаются принятыми без замечаний, а Исполнитель вправе оформить односторонний Акт. Использование Отчёта также подтверждает фактическое принятие в использованной части.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8. Права на результаты</w:t>
      </w:r>
    </w:p>
    <w:p>
      <w:pPr>
        <w:keepLines w:val="1"/>
        <w:widowControl w:val="1"/>
      </w:pPr>
      <w:r>
        <w:rPr>
          <w:lang w:val="ru-RU" w:eastAsia="ru-RU" w:bidi="ru-RU"/>
        </w:rPr>
        <w:t>8.1. После оплаты Заказчик вправе использовать Отчёт внутри своей организации и для обсуждения проекта с финансирующими, проектными и государственными организациями при соблюдении конфиденциальности.</w:t>
      </w:r>
    </w:p>
    <w:p>
      <w:pPr>
        <w:keepLines w:val="1"/>
        <w:widowControl w:val="1"/>
      </w:pPr>
      <w:r>
        <w:rPr>
          <w:lang w:val="ru-RU" w:eastAsia="ru-RU" w:bidi="ru-RU"/>
        </w:rPr>
        <w:t>8.2. Исключительные права и права на ноу-хау, методики, рецептуры, промышленный стандарт, архитектуру платформы, программное обеспечение и иные ранее созданные решения БИОСТРАТ сохраняются за Исполнителем или соответствующим правообладателем. Договор не предоставляет лицензию на производство продукции БИОСТРАТ и не разрешает раскрытие или воспроизведение технологии.</w:t>
      </w:r>
    </w:p>
    <w:p>
      <w:pPr>
        <w:keepLines w:val="1"/>
        <w:widowControl w:val="1"/>
      </w:pPr>
      <w:r>
        <w:rPr>
          <w:lang w:val="ru-RU" w:eastAsia="ru-RU" w:bidi="ru-RU"/>
        </w:rPr>
        <w:t>8.3. Передача Отчёта третьему лицу не создаёт для Исполнителя обязанностей перед таким лицом. Удаление обозначений автора и искажение выводов не допускаются.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9. Конфиденциальность и данные</w:t>
      </w:r>
    </w:p>
    <w:p>
      <w:pPr>
        <w:keepLines w:val="1"/>
        <w:widowControl w:val="1"/>
      </w:pPr>
      <w:r>
        <w:rPr>
          <w:lang w:val="ru-RU" w:eastAsia="ru-RU" w:bidi="ru-RU"/>
        </w:rPr>
        <w:t>9.1. Сторона защищает полученную от другой Стороны непубличную техническую, коммерческую и организационную информацию и использует её только для Договора. Обязанность действует 5 лет после прекращения Договора; режим коммерческой тайны применяется при выполнении требований Федерального закона № 98-ФЗ.</w:t>
      </w:r>
    </w:p>
    <w:p>
      <w:pPr>
        <w:keepLines w:val="1"/>
        <w:widowControl w:val="1"/>
      </w:pPr>
      <w:r>
        <w:rPr>
          <w:lang w:val="ru-RU" w:eastAsia="ru-RU" w:bidi="ru-RU"/>
        </w:rPr>
        <w:t>9.2. Обязанность не распространяется на общедоступную, ранее законно известную, самостоятельно разработанную информацию и раскрытие по обязательному требованию закона. Получившая требование Сторона, если это не запрещено, заранее уведомляет другую Сторону.</w:t>
      </w:r>
    </w:p>
    <w:p>
      <w:pPr>
        <w:keepLines w:val="1"/>
        <w:widowControl w:val="1"/>
      </w:pPr>
      <w:r>
        <w:rPr>
          <w:lang w:val="ru-RU" w:eastAsia="ru-RU" w:bidi="ru-RU"/>
        </w:rPr>
        <w:t>9.3. Каждая Сторона самостоятельно является оператором персональных данных своих представителей. Стороны обмениваются только служебными контактами, необходимыми для заключения и исполнения Договора, обеспечивают законное основание, безопасность, актуальность и удаление после утраты цели.</w:t>
      </w:r>
    </w:p>
    <w:p>
      <w:pPr>
        <w:keepLines w:val="1"/>
        <w:widowControl w:val="1"/>
      </w:pPr>
      <w:r>
        <w:rPr>
          <w:lang w:val="ru-RU" w:eastAsia="ru-RU" w:bidi="ru-RU"/>
        </w:rPr>
        <w:t>9.4. Запрещается направлять документы с избыточными персональными данными, специальные категории и данные третьих лиц без основания. Инцидент, связанный с переданными материалами, сообщается другой Стороне без неоправданной задержки.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10. Ответственность и управление рисками</w:t>
      </w:r>
    </w:p>
    <w:p>
      <w:pPr>
        <w:keepLines w:val="1"/>
        <w:widowControl w:val="1"/>
      </w:pPr>
      <w:r>
        <w:rPr>
          <w:lang w:val="ru-RU" w:eastAsia="ru-RU" w:bidi="ru-RU"/>
        </w:rPr>
        <w:t>10.1. Стороны отвечают за нарушение Договора по законодательству Российской Федерации. Нарушившая Сторона возмещает документально подтверждённые прямые убытки в причинной связи с нарушением.</w:t>
      </w:r>
    </w:p>
    <w:p>
      <w:pPr>
        <w:keepLines w:val="1"/>
        <w:widowControl w:val="1"/>
      </w:pPr>
      <w:r>
        <w:rPr>
          <w:lang w:val="ru-RU" w:eastAsia="ru-RU" w:bidi="ru-RU"/>
        </w:rPr>
        <w:t>10.2. Совокупная ответственность Исполнителя по Договору ограничена уплаченной ценой услуг, кроме умышленного нарушения, нарушения исключительных прав, конфиденциальности и персональных данных, а также случаев, когда ограничение запрещено законом.</w:t>
      </w:r>
    </w:p>
    <w:p>
      <w:pPr>
        <w:keepLines w:val="1"/>
        <w:widowControl w:val="1"/>
      </w:pPr>
      <w:r>
        <w:rPr>
          <w:lang w:val="ru-RU" w:eastAsia="ru-RU" w:bidi="ru-RU"/>
        </w:rPr>
        <w:t>10.3. Исполнитель не отвечает за решения Заказчика, основанные на неполных данных, использование Отчёта вне назначения, действия третьих лиц, скрытые дефекты и изменения площадки после обследования.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10.4. За просрочку денежного обязательства применяется процент по статье 395 Гражданского кодекса Российской Федерации, если Стороны в Карточке договора не установили иную неустойку: </w:t>
      </w:r>
      <w:sdt>
        <w:sdtPr>
          <w:tag w:val="PENALTY"/>
          <w:alias w:val="PENALTY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>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11. Отказ и прекращение</w:t>
      </w:r>
    </w:p>
    <w:p>
      <w:pPr>
        <w:keepLines w:val="1"/>
        <w:widowControl w:val="1"/>
      </w:pPr>
      <w:r>
        <w:rPr>
          <w:lang w:val="ru-RU" w:eastAsia="ru-RU" w:bidi="ru-RU"/>
        </w:rPr>
        <w:t>11.1. Заказчик вправе отказаться от Договора при оплате фактически оказанных услуг и документально подтверждённых расходов Исполнителя. Исполнитель вправе отказаться при полном возмещении Заказчику убытков в пределах статьи 782 Гражданского кодекса Российской Федерации.</w:t>
      </w:r>
    </w:p>
    <w:p>
      <w:pPr>
        <w:keepLines w:val="1"/>
        <w:widowControl w:val="1"/>
      </w:pPr>
      <w:r>
        <w:rPr>
          <w:lang w:val="ru-RU" w:eastAsia="ru-RU" w:bidi="ru-RU"/>
        </w:rPr>
        <w:t>11.2. Существенное нарушение, не устранённое в течение 10 рабочих дней после письменного требования, даёт другой Стороне право отказаться от Договора, если закон или существо нарушения не требуют иного срока.</w:t>
      </w:r>
    </w:p>
    <w:p>
      <w:pPr>
        <w:keepLines w:val="1"/>
        <w:widowControl w:val="1"/>
      </w:pPr>
      <w:r>
        <w:rPr>
          <w:lang w:val="ru-RU" w:eastAsia="ru-RU" w:bidi="ru-RU"/>
        </w:rPr>
        <w:t>11.3. При прекращении Стороны подписывают Акт на фактически выполненный объём и возвращают либо удаляют материалы, если их хранение не требуется законом или для защиты прав.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12. Непреодолимая сила</w:t>
      </w:r>
    </w:p>
    <w:p>
      <w:pPr>
        <w:keepLines w:val="1"/>
        <w:widowControl w:val="1"/>
      </w:pPr>
      <w:r>
        <w:rPr>
          <w:lang w:val="ru-RU" w:eastAsia="ru-RU" w:bidi="ru-RU"/>
        </w:rPr>
        <w:t>12.1. Сторона освобождается от ответственности за неисполнение вследствие чрезвычайных и непредотвратимых обстоятельств, подтверждённых доступными доказательствами. Отсутствие денежных средств, нарушение контрагентом и обычные хозяйственные трудности сами по себе не являются непреодолимой силой.</w:t>
      </w:r>
    </w:p>
    <w:p>
      <w:pPr>
        <w:keepLines w:val="1"/>
        <w:widowControl w:val="1"/>
      </w:pPr>
      <w:r>
        <w:rPr>
          <w:lang w:val="ru-RU" w:eastAsia="ru-RU" w:bidi="ru-RU"/>
        </w:rPr>
        <w:t>12.2. Сторона уведомляет другую Сторону не позднее 5 рабочих дней после того, как это стало возможно. Срок продлевается на период воздействия. Если обстоятельства продолжаются более 60 календарных дней, каждая Сторона вправе отказаться от неисполненной части с расчётом за фактически оказанные услуги.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13. Переписка, подпись и уведомления</w:t>
      </w:r>
    </w:p>
    <w:p>
      <w:pPr>
        <w:keepLines w:val="1"/>
        <w:widowControl w:val="1"/>
      </w:pPr>
      <w:r>
        <w:rPr>
          <w:lang w:val="ru-RU" w:eastAsia="ru-RU" w:bidi="ru-RU"/>
        </w:rPr>
        <w:t>13.1. Оперативная переписка уполномоченных представителей по адресам из реквизитов признаётся допустимым доказательством согласований, не изменяющих предмет, цену, ответственность, права на результаты и порядок расторжения.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13.2. Договор, дополнительные соглашения, Акты и юридически значимые уведомления подписываются на бумаге либо усиленной квалифицированной электронной подписью через согласованную систему. Скан-копии могут использоваться для начала исполнения с последующим обменом оригиналами, если Стороны прямо согласовали это в Карточке договора: </w:t>
      </w:r>
      <w:sdt>
        <w:sdtPr>
          <w:tag w:val="SCAN_RULE"/>
          <w:alias w:val="SCAN_RUL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>.</w:t>
      </w:r>
    </w:p>
    <w:p>
      <w:pPr>
        <w:keepLines w:val="1"/>
        <w:widowControl w:val="1"/>
      </w:pPr>
      <w:r>
        <w:rPr>
          <w:lang w:val="ru-RU" w:eastAsia="ru-RU" w:bidi="ru-RU"/>
        </w:rPr>
        <w:t>13.3. Сторона сообщает об изменении реквизитов и полномочий в течение 3 рабочих дней. До уведомления исполнение по прежним реквизитам считается надлежащим.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14. Споры и заверения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14.1. Претензия рассматривается 10 рабочих дней. Неурегулированный спор передаётся в арбитражный суд по месту нахождения ответчика, если Стороны не заполнили иное условие: </w:t>
      </w:r>
      <w:sdt>
        <w:sdtPr>
          <w:tag w:val="JURISDICTION"/>
          <w:alias w:val="JURISDICTION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>.</w:t>
      </w:r>
    </w:p>
    <w:p>
      <w:pPr>
        <w:keepLines w:val="1"/>
        <w:widowControl w:val="1"/>
      </w:pPr>
      <w:r>
        <w:rPr>
          <w:lang w:val="ru-RU" w:eastAsia="ru-RU" w:bidi="ru-RU"/>
        </w:rPr>
        <w:t>14.2. Каждая Сторона заверяет, что зарегистрирована, имеет полномочия и необходимые одобрения, а подписант вправе заключить Договор. Заведомо недостоверное заверение влечёт последствия статьи 431.2 Гражданского кодекса Российской Федерации.</w:t>
      </w:r>
    </w:p>
    <w:p>
      <w:pPr>
        <w:keepLines w:val="1"/>
        <w:widowControl w:val="1"/>
      </w:pPr>
      <w:r>
        <w:rPr>
          <w:lang w:val="ru-RU" w:eastAsia="ru-RU" w:bidi="ru-RU"/>
        </w:rPr>
        <w:t>14.3. Стороны не предлагают и не принимают незаконное вознаграждение и сообщают о выявленном конфликте интересов.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15. Заключительные положения</w:t>
      </w:r>
    </w:p>
    <w:p>
      <w:pPr>
        <w:keepLines w:val="1"/>
        <w:widowControl w:val="1"/>
      </w:pPr>
      <w:r>
        <w:rPr>
          <w:lang w:val="ru-RU" w:eastAsia="ru-RU" w:bidi="ru-RU"/>
        </w:rPr>
        <w:t>15.1. Договор вступает в силу с даты подписания и действует до полного исполнения. Изменения действительны в письменной форме и подписываются уполномоченными лицами, кроме оперативных согласований, прямо разрешённых Договором.</w:t>
      </w:r>
    </w:p>
    <w:p>
      <w:pPr>
        <w:keepLines w:val="1"/>
        <w:widowControl w:val="1"/>
      </w:pPr>
      <w:r>
        <w:rPr>
          <w:lang w:val="ru-RU" w:eastAsia="ru-RU" w:bidi="ru-RU"/>
        </w:rPr>
        <w:t>15.2. Недействительность отдельного условия не влияет на остальные. Применяется право Российской Федерации.</w:t>
      </w:r>
    </w:p>
    <w:p>
      <w:pPr>
        <w:keepLines w:val="1"/>
        <w:widowControl w:val="1"/>
      </w:pPr>
      <w:r>
        <w:rPr>
          <w:lang w:val="ru-RU" w:eastAsia="ru-RU" w:bidi="ru-RU"/>
        </w:rPr>
        <w:t>15.3. Договор составлен в двух экземплярах равной юридической силы либо в одном электронном документе. Неотъемлемые части: Приложение № 1 «Техническое задание и состав результата»; Приложение № 2 «Расширенная анкета промышленного партнёра»; Приложение № 3 «Форма Акта оказанных услуг».</w:t>
      </w:r>
    </w:p>
    <w:p>
      <w:pPr>
        <w:pStyle w:val="Heading1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16. Реквизиты и подписи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Заказчик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Исполнитель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CUSTOMER_DETAILS"/>
                <w:alias w:val="CUSTOMER_DETAILS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 xml:space="preserve">АО «НПО «БИОСТРАТЕГИЯ»; ОГРН 1227800004850; ИНН 7802920622; КПП 780201001; 194021, г. Санкт-Петербург, пр-кт 2-й Муринский, д. 34, к. 1, литера Б, помещ. 46Н; банковские реквизиты: </w:t>
            </w:r>
            <w:sdt>
              <w:sdtPr>
                <w:tag w:val="EXECUTOR_BANK"/>
                <w:alias w:val="EXECUTOR_BANK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  <w:r>
              <w:rPr>
                <w:lang w:val="ru-RU" w:eastAsia="ru-RU" w:bidi="ru-RU"/>
              </w:rPr>
              <w:t>; email: biostrat@biostrat.ru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CUSTOMER_SIGN"/>
                <w:alias w:val="CUSTOMER_SIGN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Генеральный директор __________________ / Кочерга В. А. /</w:t>
            </w:r>
          </w:p>
        </w:tc>
      </w:tr>
    </w:tbl>
    <w:p>
      <w:pPr>
        <w:pStyle w:val="Heading1"/>
        <w:keepLines w:val="1"/>
        <w:pageBreakBefore/>
        <w:widowControl w:val="1"/>
        <w:keepNext w:val="1"/>
      </w:pPr>
      <w:r>
        <w:rPr>
          <w:color w:val="000000"/>
          <w:lang w:val="ru-RU" w:eastAsia="ru-RU" w:bidi="ru-RU"/>
        </w:rPr>
        <w:t>Приложение. № 1 Техническое задание и состав результата</w:t>
      </w:r>
    </w:p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1. Цель</w:t>
      </w:r>
    </w:p>
    <w:p>
      <w:pPr>
        <w:keepLines w:val="1"/>
        <w:widowControl w:val="1"/>
      </w:pPr>
      <w:r>
        <w:rPr>
          <w:lang w:val="ru-RU" w:eastAsia="ru-RU" w:bidi="ru-RU"/>
        </w:rPr>
        <w:t>Определить полноту исходных данных и предварительную применимость площадки для размещения промышленного комплекса БИОСТРАТ. Обследование не заменяет проектирование и обязательные экспертизы.</w:t>
      </w:r>
    </w:p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2. Работы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788"/>
        <w:gridCol w:w="3091"/>
        <w:gridCol w:w="3091"/>
      </w:tblGrid>
      <w:tr>
        <w:trPr>
          <w:tblHeader w:val="true"/>
          <w:cantSplit w:val="1"/>
        </w:trPr>
        <w:tc>
          <w:tcPr>
            <w:tcW w:type="dxa" w:w="37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Этап</w:t>
            </w:r>
          </w:p>
        </w:tc>
        <w:tc>
          <w:tcPr>
            <w:tcW w:type="dxa" w:w="3091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Содержание</w:t>
            </w:r>
          </w:p>
        </w:tc>
        <w:tc>
          <w:tcPr>
            <w:tcW w:type="dxa" w:w="3091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Результат</w:t>
            </w:r>
          </w:p>
        </w:tc>
      </w:tr>
      <w:tr>
        <w:trPr>
          <w:cantSplit w:val="1"/>
        </w:trPr>
        <w:tc>
          <w:tcPr>
            <w:tcW w:type="dxa" w:w="37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Подготовка</w:t>
            </w:r>
          </w:p>
        </w:tc>
        <w:tc>
          <w:tcPr>
            <w:tcW w:type="dxa" w:w="3091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проверка Анкеты, перечня файлов и вопросов</w:t>
            </w:r>
          </w:p>
        </w:tc>
        <w:tc>
          <w:tcPr>
            <w:tcW w:type="dxa" w:w="3091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реестр исходных данных и запрос уточнений</w:t>
            </w:r>
          </w:p>
        </w:tc>
      </w:tr>
      <w:tr>
        <w:trPr>
          <w:cantSplit w:val="1"/>
        </w:trPr>
        <w:tc>
          <w:tcPr>
            <w:tcW w:type="dxa" w:w="37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Сырьё</w:t>
            </w:r>
          </w:p>
        </w:tc>
        <w:tc>
          <w:tcPr>
            <w:tcW w:type="dxa" w:w="3091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объём, влажность, состав, график образования, удаление и хранение</w:t>
            </w:r>
          </w:p>
        </w:tc>
        <w:tc>
          <w:tcPr>
            <w:tcW w:type="dxa" w:w="3091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профиль сырья и перечень необходимых анализов</w:t>
            </w:r>
          </w:p>
        </w:tc>
      </w:tr>
      <w:tr>
        <w:trPr>
          <w:cantSplit w:val="1"/>
        </w:trPr>
        <w:tc>
          <w:tcPr>
            <w:tcW w:type="dxa" w:w="37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Площадка</w:t>
            </w:r>
          </w:p>
        </w:tc>
        <w:tc>
          <w:tcPr>
            <w:tcW w:type="dxa" w:w="3091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размещение, здания, подъезды, расстояния, ограничения</w:t>
            </w:r>
          </w:p>
        </w:tc>
        <w:tc>
          <w:tcPr>
            <w:tcW w:type="dxa" w:w="3091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предварительная схема возможного размещения или перечень препятствий</w:t>
            </w:r>
          </w:p>
        </w:tc>
      </w:tr>
      <w:tr>
        <w:trPr>
          <w:cantSplit w:val="1"/>
        </w:trPr>
        <w:tc>
          <w:tcPr>
            <w:tcW w:type="dxa" w:w="37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Инфраструктура</w:t>
            </w:r>
          </w:p>
        </w:tc>
        <w:tc>
          <w:tcPr>
            <w:tcW w:type="dxa" w:w="3091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газ, электроэнергия, вода, водоотведение, связь, транспорт</w:t>
            </w:r>
          </w:p>
        </w:tc>
        <w:tc>
          <w:tcPr>
            <w:tcW w:type="dxa" w:w="3091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таблица доступности и дефицитов</w:t>
            </w:r>
          </w:p>
        </w:tc>
      </w:tr>
      <w:tr>
        <w:trPr>
          <w:cantSplit w:val="1"/>
        </w:trPr>
        <w:tc>
          <w:tcPr>
            <w:tcW w:type="dxa" w:w="37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Организация</w:t>
            </w:r>
          </w:p>
        </w:tc>
        <w:tc>
          <w:tcPr>
            <w:tcW w:type="dxa" w:w="3091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персонал, режим доступа, безопасность, логистика</w:t>
            </w:r>
          </w:p>
        </w:tc>
        <w:tc>
          <w:tcPr>
            <w:tcW w:type="dxa" w:w="3091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организационные условия следующего этапа</w:t>
            </w:r>
          </w:p>
        </w:tc>
      </w:tr>
      <w:tr>
        <w:trPr>
          <w:cantSplit w:val="1"/>
        </w:trPr>
        <w:tc>
          <w:tcPr>
            <w:tcW w:type="dxa" w:w="37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Итог</w:t>
            </w:r>
          </w:p>
        </w:tc>
        <w:tc>
          <w:tcPr>
            <w:tcW w:type="dxa" w:w="3091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систематизация выводов и допущений</w:t>
            </w:r>
          </w:p>
        </w:tc>
        <w:tc>
          <w:tcPr>
            <w:tcW w:type="dxa" w:w="3091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Отчёт, перечень рисков и рекомендуемые следующие действия</w:t>
            </w:r>
          </w:p>
        </w:tc>
      </w:tr>
    </w:tbl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3. Выезд и специальные работы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Выезд: </w:t>
      </w:r>
      <w:sdt>
        <w:sdtPr>
          <w:tag w:val="VISIT_INCLUDED"/>
          <w:alias w:val="VISIT_INCLUDED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. Количество специалистов: </w:t>
      </w:r>
      <w:sdt>
        <w:sdtPr>
          <w:tag w:val="TEAM_SIZE"/>
          <w:alias w:val="TEAM_SIZ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. Продолжительность: </w:t>
      </w:r>
      <w:sdt>
        <w:sdtPr>
          <w:tag w:val="VISIT_DURATION"/>
          <w:alias w:val="VISIT_DURATION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. Лабораторные исследования: </w:t>
      </w:r>
      <w:sdt>
        <w:sdtPr>
          <w:tag w:val="LAB_SCOPE"/>
          <w:alias w:val="LAB_SCOP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. Инструментальные измерения: </w:t>
      </w:r>
      <w:sdt>
        <w:sdtPr>
          <w:tag w:val="MEASUREMENTS_SCOPE"/>
          <w:alias w:val="MEASUREMENTS_SCOP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>.</w:t>
      </w:r>
    </w:p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4. Требования к Отчёту</w:t>
      </w:r>
    </w:p>
    <w:p>
      <w:pPr>
        <w:keepLines w:val="1"/>
        <w:widowControl w:val="1"/>
      </w:pPr>
      <w:r>
        <w:rPr>
          <w:lang w:val="ru-RU" w:eastAsia="ru-RU" w:bidi="ru-RU"/>
        </w:rPr>
        <w:t>Отчёт содержит титульные сведения, реестр изученных материалов, фактические данные и их источник, допущения, ограничения, предварительные выводы, недостающие материалы и рекомендации. Коммерческая или технологическая тайна БИОСТРАТ не раскрывается.</w:t>
      </w:r>
    </w:p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5. Согласование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Заказчик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Исполнитель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 xml:space="preserve">__________________ / </w:t>
            </w:r>
            <w:sdt>
              <w:sdtPr>
                <w:tag w:val="CUSTOMER_SIGN_NAME"/>
                <w:alias w:val="CUSTOMER_SIGN_NAME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  <w:r>
              <w:rPr>
                <w:lang w:val="ru-RU" w:eastAsia="ru-RU" w:bidi="ru-RU"/>
              </w:rPr>
              <w:t xml:space="preserve"> /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__________________ / Кочерга В. А. /</w:t>
            </w:r>
          </w:p>
        </w:tc>
      </w:tr>
    </w:tbl>
    <w:p>
      <w:pPr>
        <w:pStyle w:val="Heading1"/>
        <w:keepLines w:val="1"/>
        <w:pageBreakBefore/>
        <w:widowControl w:val="1"/>
        <w:keepNext w:val="1"/>
      </w:pPr>
      <w:r>
        <w:rPr>
          <w:color w:val="000000"/>
          <w:lang w:val="ru-RU" w:eastAsia="ru-RU" w:bidi="ru-RU"/>
        </w:rPr>
        <w:t>Приложение. № 2 Расширенная анкета промышленного партнёра</w:t>
      </w:r>
    </w:p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1. Инструкция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Анкета заполняется полностью до начала услуг. Если сведений нет, укажите «нет данных» и срок предоставления. Приложите подтверждающие материалы. Каждая страница подписанной Анкеты относится к Договору № </w:t>
      </w:r>
      <w:sdt>
        <w:sdtPr>
          <w:tag w:val="CONTRACT_NO"/>
          <w:alias w:val="CONTRACT_NO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от </w:t>
      </w:r>
      <w:sdt>
        <w:sdtPr>
          <w:tag w:val="CONTRACT_DATE"/>
          <w:alias w:val="CONTRACT_DAT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>.</w:t>
      </w:r>
    </w:p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2. Организация и проект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Параметр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Сведения Заказчика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Полное наименование, ИНН, ОГРН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01"/>
                <w:alias w:val="Q01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Адрес и координаты площадки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02"/>
                <w:alias w:val="Q02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Ответственное лицо, должность, полномочия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03"/>
                <w:alias w:val="Q03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Телефон и email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04"/>
                <w:alias w:val="Q04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Краткое описание предприятия и цели проекта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05"/>
                <w:alias w:val="Q05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</w:tbl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3. Производственный профиль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Параметр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Сведения Заказчика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Направление производства: мясное, яичное, смешанное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06"/>
                <w:alias w:val="Q06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Система выращивания: напольная, клеточная, смешанная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07"/>
                <w:alias w:val="Q07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Поголовье и производительность по видам продукции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08"/>
                <w:alias w:val="Q08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График производственных циклов и санитарных разрывов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09"/>
                <w:alias w:val="Q09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Планируемое изменение мощности на 5 лет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10"/>
                <w:alias w:val="Q10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</w:tbl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4. Сырьё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Параметр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Сведения Заказчика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Вид сырья: подстилочный, бесподстилочный помёт, смесь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11"/>
                <w:alias w:val="Q11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Объём за год, т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12"/>
                <w:alias w:val="Q12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Средний, минимальный и максимальный объём в сутки, т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13"/>
                <w:alias w:val="Q13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Плотность или насыпная масса, кг/м³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14"/>
                <w:alias w:val="Q14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Абсолютная влажность, %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15"/>
                <w:alias w:val="Q15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Кислотность pH и зольность, %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16"/>
                <w:alias w:val="Q16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Органическое вещество, N, P, K, Ca, Fe, Mg на сухое вещество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17"/>
                <w:alias w:val="Q17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Подстилка, пропорции и доля компонентов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18"/>
                <w:alias w:val="Q18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Применяемые ветеринарные препараты, дезсредства и возможные примеси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19"/>
                <w:alias w:val="Q19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Лабораторные протоколы, даты и лаборатория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20"/>
                <w:alias w:val="Q20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</w:tbl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5. Удаление, транспорт и хранение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Параметр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Сведения Заказчика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Периодичность и объём разовой, суточной и цикловой выгрузки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21"/>
                <w:alias w:val="Q21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Система удаления и точки накопления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22"/>
                <w:alias w:val="Q22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Транспорт, грузоподъёмность, маршруты и расстояния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23"/>
                <w:alias w:val="Q23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Хранилища: тип, вместимость, заполнение и покрытие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24"/>
                <w:alias w:val="Q24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Текущее использование или передача сырья, стоимость и договоры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25"/>
                <w:alias w:val="Q25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Сезонность, аварийный запас и ограничения вывоза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26"/>
                <w:alias w:val="Q26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</w:tbl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6. Площадка и здания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Параметр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Сведения Заказчика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Земельный участок, право, площадь и вид разрешённого использования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27"/>
                <w:alias w:val="Q27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Возможность выделить около 2,5 га и расстояние до сырья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28"/>
                <w:alias w:val="Q28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Здания и площадки: размеры, высоты, конструкции, состояние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29"/>
                <w:alias w:val="Q29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Геология, рельеф, грунтовые воды и подтопление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30"/>
                <w:alias w:val="Q30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Санитарные, охранные и иные зоны и ограничения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31"/>
                <w:alias w:val="Q31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Подъездные пути, грузовой транспорт и разворотные площадки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32"/>
                <w:alias w:val="Q32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План, кадастровые сведения и фотографии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33"/>
                <w:alias w:val="Q33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</w:tbl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7. Инженерная инфраструктура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Параметр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Сведения Заказчика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Электроэнергия: резерв 600–1 000 кВт, напряжение, надёжность, стоимость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34"/>
                <w:alias w:val="Q34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Природный газ: точка, давление, объём, лимиты, стоимость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35"/>
                <w:alias w:val="Q35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Вода: источник, качество, дебит, стоимость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36"/>
                <w:alias w:val="Q36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Водоотведение: мощность, состав допустимых стоков, тариф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37"/>
                <w:alias w:val="Q37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Теплоснабжение и пар, если доступны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38"/>
                <w:alias w:val="Q38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Связь и доступ к сети Интернет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39"/>
                <w:alias w:val="Q39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Резервное снабжение и ограничения подключений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40"/>
                <w:alias w:val="Q40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</w:tbl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8. Логистика и персонал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Параметр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Сведения Заказчика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Ближайшие железнодорожные станции и порты, расстояние и ограничения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41"/>
                <w:alias w:val="Q41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Поставщики древесного топлива, вид, расстояние и стоимость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42"/>
                <w:alias w:val="Q42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Стоимость дизельного топлива и грузоперевозки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43"/>
                <w:alias w:val="Q43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Доступность специалистов и режим работы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44"/>
                <w:alias w:val="Q44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Зарплата: снабжение, бухгалтер, склад, погрузчик, слесарь, механик, электрик, рабочий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45"/>
                <w:alias w:val="Q45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</w:tbl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9. Разрешения, безопасность и экология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Параметр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Сведения Заказчика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Категория объекта НВОС и разрешительная документация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46"/>
                <w:alias w:val="Q46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Обращение с побочными продуктами животноводства и отходами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47"/>
                <w:alias w:val="Q47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Ветеринарно-санитарные и биологические ограничения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48"/>
                <w:alias w:val="Q48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Охрана труда, пожарная безопасность и пропускной режим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49"/>
                <w:alias w:val="Q49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Жалобы, предписания, аварии и ограничения за последние 3 года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50"/>
                <w:alias w:val="Q50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</w:tbl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10. Приложения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Материал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Приложен, имя и дата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Лабораторные протоколы сырья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51"/>
                <w:alias w:val="Q51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График образования и вывоза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52"/>
                <w:alias w:val="Q52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Схема системы удаления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53"/>
                <w:alias w:val="Q53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План площадки, кадастровые сведения и фотографии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54"/>
                <w:alias w:val="Q54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Технические условия на подключения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55"/>
                <w:alias w:val="Q55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Разрешительная и экологическая документация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56"/>
                <w:alias w:val="Q56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Иные материалы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57"/>
                <w:alias w:val="Q57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</w:tbl>
    <w:p>
      <w:pPr>
        <w:pStyle w:val="Heading2"/>
        <w:keepLines w:val="1"/>
        <w:widowControl w:val="1"/>
        <w:keepNext w:val="1"/>
      </w:pPr>
      <w:r>
        <w:rPr>
          <w:color w:val="000000"/>
          <w:lang w:val="ru-RU" w:eastAsia="ru-RU" w:bidi="ru-RU"/>
        </w:rPr>
        <w:t>11. Подтверждение</w:t>
      </w:r>
    </w:p>
    <w:p>
      <w:pPr>
        <w:keepLines w:val="1"/>
        <w:widowControl w:val="1"/>
      </w:pPr>
      <w:r>
        <w:rPr>
          <w:lang w:val="ru-RU" w:eastAsia="ru-RU" w:bidi="ru-RU"/>
        </w:rPr>
        <w:t>Заказчик подтверждает полноту сведений в известной ему части, право передачи приложений и обязанность сообщить об изменениях до выдачи Отчёта.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Параметр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Значение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Ф. И. О. и должность заполнившего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58"/>
                <w:alias w:val="Q58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Дата заполнения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59"/>
                <w:alias w:val="Q59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Подпись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60"/>
                <w:alias w:val="Q60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Представитель Заказчика, должность, дата и подпись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sdt>
              <w:sdtPr>
                <w:tag w:val="Q61"/>
                <w:alias w:val="Q61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  <w:r>
              <w:rPr>
                <w:lang w:val="ru-RU" w:eastAsia="ru-RU" w:bidi="ru-RU"/>
              </w:rPr>
              <w:t xml:space="preserve">; </w:t>
            </w:r>
            <w:sdt>
              <w:sdtPr>
                <w:tag w:val="Q62"/>
                <w:alias w:val="Q62"/>
                <w:text/>
              </w:sdtPr>
              <w:sdtContent>
                <w:r>
                  <w:rPr>
                    <w:lang w:val="ru-RU" w:eastAsia="ru-RU" w:bidi="ru-RU"/>
                  </w:rPr>
                  <w:t>Введите сведения или укажите «нет данных»</w:t>
                </w:r>
              </w:sdtContent>
            </w:sdt>
          </w:p>
        </w:tc>
      </w:tr>
    </w:tbl>
    <w:p>
      <w:pPr>
        <w:pStyle w:val="Heading1"/>
        <w:keepLines w:val="1"/>
        <w:pageBreakBefore/>
        <w:widowControl w:val="1"/>
        <w:keepNext w:val="1"/>
      </w:pPr>
      <w:r>
        <w:rPr>
          <w:color w:val="000000"/>
          <w:lang w:val="ru-RU" w:eastAsia="ru-RU" w:bidi="ru-RU"/>
        </w:rPr>
        <w:t>Приложение. № 3 Форма Акта оказанных услуг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АКТ № </w:t>
      </w:r>
      <w:sdt>
        <w:sdtPr>
          <w:tag w:val="ACT_NO"/>
          <w:alias w:val="ACT_NO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к Договору № </w:t>
      </w:r>
      <w:sdt>
        <w:sdtPr>
          <w:tag w:val="CONTRACT_NO"/>
          <w:alias w:val="CONTRACT_NO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от </w:t>
      </w:r>
      <w:sdt>
        <w:sdtPr>
          <w:tag w:val="CONTRACT_DATE"/>
          <w:alias w:val="CONTRACT_DAT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, г. </w:t>
      </w:r>
      <w:sdt>
        <w:sdtPr>
          <w:tag w:val="CITY"/>
          <w:alias w:val="CITY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, </w:t>
      </w:r>
      <w:sdt>
        <w:sdtPr>
          <w:tag w:val="ACT_DATE"/>
          <w:alias w:val="ACT_DAT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>.</w:t>
      </w:r>
    </w:p>
    <w:p>
      <w:pPr>
        <w:keepLines w:val="1"/>
        <w:widowControl w:val="1"/>
      </w:pPr>
      <w:r>
        <w:rPr>
          <w:lang w:val="ru-RU" w:eastAsia="ru-RU" w:bidi="ru-RU"/>
        </w:rPr>
        <w:t xml:space="preserve">Исполнитель оказал, а Заказчик принял услуги по обследованию производственной площадки </w:t>
      </w:r>
      <w:sdt>
        <w:sdtPr>
          <w:tag w:val="SITE_NAME"/>
          <w:alias w:val="SITE_NAM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. Отчёт передан </w:t>
      </w:r>
      <w:sdt>
        <w:sdtPr>
          <w:tag w:val="REPORT_DATE"/>
          <w:alias w:val="REPORT_DAT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способом </w:t>
      </w:r>
      <w:sdt>
        <w:sdtPr>
          <w:tag w:val="REPORT_CHANNEL"/>
          <w:alias w:val="REPORT_CHANNEL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. Стоимость принятых услуг составляет </w:t>
      </w:r>
      <w:sdt>
        <w:sdtPr>
          <w:tag w:val="PRICE"/>
          <w:alias w:val="PRIC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рублей, включая НДС </w:t>
      </w:r>
      <w:sdt>
        <w:sdtPr>
          <w:tag w:val="VAT_RATE"/>
          <w:alias w:val="VAT_RATE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% — </w:t>
      </w:r>
      <w:sdt>
        <w:sdtPr>
          <w:tag w:val="VAT_AMOUNT"/>
          <w:alias w:val="VAT_AMOUNT"/>
          <w:text/>
        </w:sdtPr>
        <w:sdtContent>
          <w:r>
            <w:rPr>
              <w:lang w:val="ru-RU" w:eastAsia="ru-RU" w:bidi="ru-RU"/>
            </w:rPr>
            <w:t>________________________</w:t>
          </w:r>
        </w:sdtContent>
      </w:sdt>
      <w:r>
        <w:rPr>
          <w:lang w:val="ru-RU" w:eastAsia="ru-RU" w:bidi="ru-RU"/>
        </w:rPr>
        <w:t xml:space="preserve"> рублей.</w:t>
      </w:r>
    </w:p>
    <w:tbl>
      <w:tblPr>
        <w:tblStyle w:val="TableGrid"/>
        <w:tblW w:type="dxa" w:w="997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DCDF"/>
          <w:left w:val="single" w:sz="4" w:color="D7DCDF"/>
          <w:bottom w:val="single" w:sz="4" w:color="D7DCDF"/>
          <w:right w:val="single" w:sz="4" w:color="D7DCDF"/>
          <w:insideH w:val="single" w:sz="4" w:color="D7DCDF"/>
          <w:insideV w:val="single" w:sz="4" w:color="D7DCDF"/>
        </w:tblBorders>
      </w:tblPr>
      <w:tblGrid>
        <w:gridCol w:w="3988"/>
        <w:gridCol w:w="5982"/>
      </w:tblGrid>
      <w:tr>
        <w:trPr>
          <w:tblHeader w:val="true"/>
          <w:cantSplit w:val="1"/>
        </w:trPr>
        <w:tc>
          <w:tcPr>
            <w:tcW w:type="dxa" w:w="3988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Заказчик</w:t>
            </w:r>
          </w:p>
        </w:tc>
        <w:tc>
          <w:tcPr>
            <w:tcW w:type="dxa" w:w="5982"/>
            <w:vAlign w:val="center"/>
            <w:shd w:fill="2E7D32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Header"/>
              <w:keepLines w:val="1"/>
              <w:widowControl w:val="1"/>
            </w:pPr>
            <w:r>
              <w:rPr>
                <w:color w:val="FFFFFF"/>
                <w:lang w:val="ru-RU" w:eastAsia="ru-RU" w:bidi="ru-RU"/>
              </w:rPr>
              <w:t>Исполнитель</w:t>
            </w:r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 xml:space="preserve">Претензии: </w:t>
            </w:r>
            <w:sdt>
              <w:sdtPr>
                <w:tag w:val="CLAIMS"/>
                <w:alias w:val="CLAIMS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 xml:space="preserve">Примечание: </w:t>
            </w:r>
            <w:sdt>
              <w:sdtPr>
                <w:tag w:val="EXECUTOR_NOTE"/>
                <w:alias w:val="EXECUTOR_NOTE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</w:p>
        </w:tc>
      </w:tr>
      <w:tr>
        <w:trPr>
          <w:cantSplit w:val="1"/>
        </w:trPr>
        <w:tc>
          <w:tcPr>
            <w:tcW w:type="dxa" w:w="398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 xml:space="preserve">__________________ / </w:t>
            </w:r>
            <w:sdt>
              <w:sdtPr>
                <w:tag w:val="CUSTOMER_SIGN_NAME"/>
                <w:alias w:val="CUSTOMER_SIGN_NAME"/>
                <w:text/>
              </w:sdtPr>
              <w:sdtContent>
                <w:r>
                  <w:rPr>
                    <w:lang w:val="ru-RU" w:eastAsia="ru-RU" w:bidi="ru-RU"/>
                  </w:rPr>
                  <w:t>________________________</w:t>
                </w:r>
              </w:sdtContent>
            </w:sdt>
            <w:r>
              <w:rPr>
                <w:lang w:val="ru-RU" w:eastAsia="ru-RU" w:bidi="ru-RU"/>
              </w:rPr>
              <w:t xml:space="preserve"> /</w:t>
            </w:r>
          </w:p>
        </w:tc>
        <w:tc>
          <w:tcPr>
            <w:tcW w:type="dxa" w:w="5982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  <w:shd w:fill="F5F7F7"/>
          </w:tcPr>
          <w:p>
            <w:pPr>
              <w:pStyle w:val="BIOSTRATTableCell"/>
              <w:keepLines w:val="1"/>
              <w:widowControl w:val="1"/>
            </w:pPr>
            <w:r>
              <w:rPr>
                <w:lang w:val="ru-RU" w:eastAsia="ru-RU" w:bidi="ru-RU"/>
              </w:rPr>
              <w:t>__________________ / Кочерга В. А. /</w:t>
            </w:r>
          </w:p>
        </w:tc>
      </w:tr>
    </w:tbl>
    <w:p>
      <w:pPr>
        <w:pStyle w:val="Heading1"/>
        <w:keepLines w:val="1"/>
        <w:pageBreakBefore/>
        <w:widowControl w:val="1"/>
        <w:keepNext w:val="1"/>
      </w:pPr>
      <w:r>
        <w:rPr>
          <w:color w:val="000000"/>
          <w:lang w:val="ru-RU" w:eastAsia="ru-RU" w:bidi="ru-RU"/>
        </w:rPr>
        <w:t>Приложение. Официальные источники</w:t>
      </w:r>
    </w:p>
    <w:p>
      <w:pPr>
        <w:numPr>
          <w:ilvl w:val="0"/>
          <w:numId w:val="16"/>
        </w:numPr>
        <w:keepLines w:val="1"/>
        <w:widowControl w:val="1"/>
      </w:pPr>
      <w:r>
        <w:rPr>
          <w:lang w:val="ru-RU" w:eastAsia="ru-RU" w:bidi="ru-RU"/>
        </w:rPr>
        <w:t xml:space="preserve">Гражданский кодекс Российской Федерации, главы 27–29 и 39: </w:t>
      </w:r>
      <w:hyperlink ns5:id="rId28">
        <w:r>
          <w:rPr>
            <w:rFonts w:ascii="Inter" w:hAnsi="Inter" w:eastAsia="Inter" w:cs="Inter"/>
            <w:color w:val="0D5F2F"/>
            <w:u w:val="single"/>
            <w:sz w:val="18"/>
            <w:lang w:val="ru-RU" w:eastAsia="ru-RU"/>
          </w:rPr>
          <w:t>https://pravo.gov.ru/proxy/ips/?docbody=&amp;nd=102033239</w:t>
        </w:r>
      </w:hyperlink>
    </w:p>
    <w:p>
      <w:pPr>
        <w:numPr>
          <w:ilvl w:val="0"/>
          <w:numId w:val="16"/>
        </w:numPr>
        <w:keepLines w:val="1"/>
        <w:widowControl w:val="1"/>
      </w:pPr>
      <w:r>
        <w:rPr>
          <w:lang w:val="ru-RU" w:eastAsia="ru-RU" w:bidi="ru-RU"/>
        </w:rPr>
        <w:t xml:space="preserve">Федеральный закон от 29.07.2004 № 98-ФЗ «О коммерческой тайне»: </w:t>
      </w:r>
      <w:hyperlink ns5:id="rId29">
        <w:r>
          <w:rPr>
            <w:rFonts w:ascii="Inter" w:hAnsi="Inter" w:eastAsia="Inter" w:cs="Inter"/>
            <w:color w:val="0D5F2F"/>
            <w:u w:val="single"/>
            <w:sz w:val="18"/>
            <w:lang w:val="ru-RU" w:eastAsia="ru-RU"/>
          </w:rPr>
          <w:t>https://pravo.gov.ru/proxy/ips/?docbody=&amp;nd=102088606</w:t>
        </w:r>
      </w:hyperlink>
    </w:p>
    <w:p>
      <w:pPr>
        <w:numPr>
          <w:ilvl w:val="0"/>
          <w:numId w:val="16"/>
        </w:numPr>
        <w:keepLines w:val="1"/>
        <w:widowControl w:val="1"/>
      </w:pPr>
      <w:r>
        <w:rPr>
          <w:lang w:val="ru-RU" w:eastAsia="ru-RU" w:bidi="ru-RU"/>
        </w:rPr>
        <w:t xml:space="preserve">Федеральный закон от 27.07.2006 № 152-ФЗ: </w:t>
      </w:r>
      <w:hyperlink ns5:id="rId30">
        <w:r>
          <w:rPr>
            <w:rFonts w:ascii="Inter" w:hAnsi="Inter" w:eastAsia="Inter" w:cs="Inter"/>
            <w:color w:val="0D5F2F"/>
            <w:u w:val="single"/>
            <w:sz w:val="18"/>
            <w:lang w:val="ru-RU" w:eastAsia="ru-RU"/>
          </w:rPr>
          <w:t>https://pravo.gov.ru/proxy/ips/?docbody=&amp;nd=102108261</w:t>
        </w:r>
      </w:hyperlink>
    </w:p>
    <w:p>
      <w:pPr>
        <w:numPr>
          <w:ilvl w:val="0"/>
          <w:numId w:val="16"/>
        </w:numPr>
        <w:keepLines w:val="1"/>
        <w:widowControl w:val="1"/>
      </w:pPr>
      <w:r>
        <w:rPr>
          <w:lang w:val="ru-RU" w:eastAsia="ru-RU" w:bidi="ru-RU"/>
        </w:rPr>
        <w:t xml:space="preserve">Федеральный закон от 06.04.2011 № 63-ФЗ «Об электронной подписи»: </w:t>
      </w:r>
      <w:hyperlink ns5:id="rId31">
        <w:r>
          <w:rPr>
            <w:rFonts w:ascii="Inter" w:hAnsi="Inter" w:eastAsia="Inter" w:cs="Inter"/>
            <w:color w:val="0D5F2F"/>
            <w:u w:val="single"/>
            <w:sz w:val="18"/>
            <w:lang w:val="ru-RU" w:eastAsia="ru-RU"/>
          </w:rPr>
          <w:t>https://pravo.gov.ru/proxy/ips/?docbody=&amp;nd=102146610</w:t>
        </w:r>
      </w:hyperlink>
    </w:p>
    <w:p>
      <w:pPr>
        <w:numPr>
          <w:ilvl w:val="0"/>
          <w:numId w:val="16"/>
        </w:numPr>
        <w:keepLines w:val="1"/>
        <w:widowControl w:val="1"/>
      </w:pPr>
      <w:r>
        <w:rPr>
          <w:lang w:val="ru-RU" w:eastAsia="ru-RU" w:bidi="ru-RU"/>
        </w:rPr>
        <w:t xml:space="preserve">Федеральный закон от 28.11.2025 № 425-ФЗ и ставка НДС 22% с 01.01.2026: </w:t>
      </w:r>
      <w:hyperlink ns5:id="rId32">
        <w:r>
          <w:rPr>
            <w:rFonts w:ascii="Inter" w:hAnsi="Inter" w:eastAsia="Inter" w:cs="Inter"/>
            <w:color w:val="0D5F2F"/>
            <w:u w:val="single"/>
            <w:sz w:val="18"/>
            <w:lang w:val="ru-RU" w:eastAsia="ru-RU"/>
          </w:rPr>
          <w:t>https://www.nalog.gov.ru/new2026/</w:t>
        </w:r>
      </w:hyperlink>
    </w:p>
    <w:p>
      <w:pPr>
        <w:keepLines w:val="1"/>
        <w:widowControl w:val="1"/>
      </w:pPr>
      <w:r>
        <w:rPr>
          <w:lang w:val="ru-RU" w:eastAsia="ru-RU" w:bidi="ru-RU"/>
        </w:rPr>
        <w:t>Источники проверены 06.09.2026. Перед подписанием Стороны заполняют все поля и проверяют реквизиты, налоговый статус, цену, объём, сроки и полномочия подписантов.</w:t>
      </w:r>
    </w:p>
    <w:sectPr>
      <w:headerReference w:type="default" ns5:id="rId24"/>
      <w:footerReference w:type="default" ns5:id="rId25"/>
      <w:pgSz w:w="11906" w:h="16838"/>
      <w:pgMar w:top="964" w:right="907" w:bottom="964" w:left="907" w:header="397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</w:pPr>
    <w:r/>
  </w:p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3835"/>
      <w:gridCol w:w="4036"/>
      <w:gridCol w:w="2220"/>
    </w:tblGrid>
    <w:tr>
      <w:trPr>
        <w:tblHeader w:val="true"/>
        <w:cantSplit/>
      </w:trPr>
      <w:tc>
        <w:tcPr>
          <w:tcW w:type="dxa" w:w="3835"/>
          <w:tcMar>
            <w:top w:w="50" w:type="dxa"/>
            <w:start w:w="70" w:type="dxa"/>
            <w:bottom w:w="50" w:type="dxa"/>
            <w:end w:w="70" w:type="dxa"/>
          </w:tcMar>
          <w:vAlign w:val="center"/>
        </w:tcPr>
        <w:p>
          <w:pPr>
            <w:jc w:val="lef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BIO-DOC-CONCEPT · v0.1</w:t>
          </w:r>
        </w:p>
      </w:tc>
      <w:tc>
        <w:tcPr>
          <w:tcW w:type="dxa" w:w="4036"/>
          <w:tcMar>
            <w:top w:w="50" w:type="dxa"/>
            <w:start w:w="70" w:type="dxa"/>
            <w:bottom w:w="50" w:type="dxa"/>
            <w:end w:w="70" w:type="dxa"/>
          </w:tcMar>
          <w:vAlign w:val="center"/>
        </w:tcPr>
        <w:p>
          <w:pPr>
            <w:jc w:val="center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КОНЦЕПТ - НЕ УТВЕРЖДЕНО</w:t>
          </w:r>
        </w:p>
      </w:tc>
      <w:tc>
        <w:tcPr>
          <w:tcW w:type="dxa" w:w="2220"/>
          <w:tcMar>
            <w:top w:w="50" w:type="dxa"/>
            <w:start w:w="70" w:type="dxa"/>
            <w:bottom w:w="50" w:type="dxa"/>
            <w:end w:w="70" w:type="dxa"/>
          </w:tcMar>
          <w:vAlign w:val="center"/>
        </w:tcPr>
        <w:p>
          <w:pPr>
            <w:jc w:val="righ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t xml:space="preserve"> / </w:t>
          </w: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 NUMPAGES </w:instrText>
            <w:fldChar w:fldCharType="separate"/>
            <w:t>8</w:t>
            <w:fldChar w:fldCharType="end"/>
          </w:r>
        </w:p>
      </w:tc>
    </w:tr>
  </w:tbl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</w:pPr>
    <w:r/>
  </w:p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6559"/>
      <w:gridCol w:w="3532"/>
    </w:tblGrid>
    <w:tr>
      <w:trPr>
        <w:tblHeader w:val="true"/>
        <w:cantSplit/>
      </w:trPr>
      <w:tc>
        <w:tcPr>
          <w:tcW w:type="dxa" w:w="6559"/>
          <w:tcMar>
            <w:top w:w="100" w:type="dxa"/>
            <w:start w:w="120" w:type="dxa"/>
            <w:bottom w:w="100" w:type="dxa"/>
            <w:end w:w="120" w:type="dxa"/>
          </w:tcMar>
          <w:vAlign w:val="center"/>
        </w:tcPr>
        <w:p>
          <w:pPr>
            <w:jc w:val="lef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УНИВЕРСАЛЬНЫЙ ШАБЛОН · STAGE 1</w:t>
          </w:r>
        </w:p>
      </w:tc>
      <w:tc>
        <w:tcPr>
          <w:tcW w:type="dxa" w:w="3532"/>
          <w:tcMar>
            <w:top w:w="100" w:type="dxa"/>
            <w:start w:w="120" w:type="dxa"/>
            <w:bottom w:w="100" w:type="dxa"/>
            <w:end w:w="120" w:type="dxa"/>
          </w:tcMar>
          <w:vAlign w:val="center"/>
        </w:tcPr>
        <w:p>
          <w:pPr>
            <w:jc w:val="righ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31.07.2026</w:t>
          </w:r>
        </w:p>
      </w:tc>
    </w:tr>
  </w:tbl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5853"/>
      <w:gridCol w:w="1715"/>
    </w:tblGrid>
    <w:tr>
      <w:trPr>
        <w:cantSplit/>
        <w:tblHeader w:val="true"/>
      </w:trPr>
      <w:tc>
        <w:tcPr>
          <w:tcW w:type="dxa" w:w="252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keepLines/>
            <w:spacing w:after="0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БИОСТРАТ · КОНСТИТУЦИЯ</w:t>
          </w:r>
        </w:p>
      </w:tc>
      <w:tc>
        <w:tcPr>
          <w:tcW w:type="dxa" w:w="585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keepLines/>
            <w:spacing w:after="0"/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0D5F2F"/>
              <w:sz w:val="13"/>
              <w:lang w:val="ru-RU"/>
            </w:rPr>
            <w:t>УТВЕРЖДЕНО</w:t>
          </w:r>
        </w:p>
      </w:tc>
      <w:tc>
        <w:tcPr>
          <w:tcW w:type="dxa" w:w="1715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keepLines/>
            <w:spacing w:after="0"/>
            <w:jc w:val="righ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PAGE</w:instrText>
            <w:fldChar w:fldCharType="separate"/>
            <w:t>1</w:t>
            <w:fldChar w:fldCharType="end"/>
          </w:r>
          <w:r>
            <w:rPr>
              <w:rFonts w:ascii="Inter Medium" w:hAnsi="Inter Medium" w:eastAsia="Inter Medium" w:cs="Inter Medium"/>
              <w:b w:val="0"/>
              <w:i w:val="0"/>
              <w:color w:val="2D3136"/>
              <w:sz w:val="14"/>
              <w:lang w:val="ru-RU"/>
            </w:rPr>
            <w:t xml:space="preserve"> / </w:t>
          </w: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NUMPAGES</w:instrText>
            <w:fldChar w:fldCharType="separate"/>
            <w:t>1</w:t>
            <w:fldChar w:fldCharType="end"/>
          </w:r>
        </w:p>
      </w:tc>
    </w:tr>
  </w:tbl>
</w:ftr>
</file>

<file path=word/footer4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5853"/>
      <w:gridCol w:w="1715"/>
    </w:tblGrid>
    <w:tr>
      <w:trPr>
        <w:cantSplit/>
        <w:tblHeader w:val="true"/>
      </w:trPr>
      <w:tc>
        <w:tcPr>
          <w:tcW w:type="dxa" w:w="252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spacing w:after="0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БИОСТРАТ · КОНСТИТУЦИЯ</w:t>
          </w:r>
        </w:p>
      </w:tc>
      <w:tc>
        <w:tcPr>
          <w:tcW w:type="dxa" w:w="585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spacing w:after="0"/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0D5F2F"/>
              <w:sz w:val="13"/>
              <w:lang w:val="ru-RU"/>
            </w:rPr>
            <w:t>УТВЕРЖДЕНО</w:t>
          </w:r>
        </w:p>
      </w:tc>
      <w:tc>
        <w:tcPr>
          <w:tcW w:type="dxa" w:w="1715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spacing w:after="0"/>
            <w:jc w:val="righ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PAGE</w:instrText>
            <w:fldChar w:fldCharType="separate"/>
            <w:t>1</w:t>
            <w:fldChar w:fldCharType="end"/>
          </w:r>
          <w:r>
            <w:rPr>
              <w:rFonts w:ascii="Inter Medium" w:hAnsi="Inter Medium" w:eastAsia="Inter Medium" w:cs="Inter Medium"/>
              <w:b w:val="0"/>
              <w:i w:val="0"/>
              <w:color w:val="2D3136"/>
              <w:sz w:val="14"/>
              <w:lang w:val="ru-RU"/>
            </w:rPr>
            <w:t xml:space="preserve"> / </w:t>
          </w: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NUMPAGES</w:instrText>
            <w:fldChar w:fldCharType="separate"/>
            <w:t>1</w:t>
            <w:fldChar w:fldCharType="end"/>
          </w:r>
        </w:p>
      </w:tc>
    </w:tr>
  </w:tbl>
</w:ftr>
</file>

<file path=word/footer5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5853"/>
      <w:gridCol w:w="1715"/>
    </w:tblGrid>
    <w:tr>
      <w:trPr>
        <w:cantSplit/>
        <w:tblHeader w:val="true"/>
      </w:trPr>
      <w:tc>
        <w:tcPr>
          <w:tcW w:type="dxa" w:w="252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keepLines/>
            <w:spacing w:after="0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БИОСТРАТ · КОНСТИТУЦИЯ</w:t>
          </w:r>
        </w:p>
      </w:tc>
      <w:tc>
        <w:tcPr>
          <w:tcW w:type="dxa" w:w="585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keepLines/>
            <w:spacing w:after="0"/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0D5F2F"/>
              <w:sz w:val="13"/>
              <w:lang w:val="ru-RU"/>
            </w:rPr>
            <w:t>УТВЕРЖДЕНО</w:t>
          </w:r>
        </w:p>
      </w:tc>
      <w:tc>
        <w:tcPr>
          <w:tcW w:type="dxa" w:w="1715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keepLines/>
            <w:spacing w:after="0"/>
            <w:jc w:val="righ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PAGE</w:instrText>
            <w:fldChar w:fldCharType="separate"/>
            <w:t>1</w:t>
            <w:fldChar w:fldCharType="end"/>
          </w:r>
          <w:r>
            <w:rPr>
              <w:rFonts w:ascii="Inter Medium" w:hAnsi="Inter Medium" w:eastAsia="Inter Medium" w:cs="Inter Medium"/>
              <w:b w:val="0"/>
              <w:i w:val="0"/>
              <w:color w:val="2D3136"/>
              <w:sz w:val="14"/>
              <w:lang w:val="ru-RU"/>
            </w:rPr>
            <w:t xml:space="preserve"> / </w:t>
          </w: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NUMPAGES</w:instrText>
            <w:fldChar w:fldCharType="separate"/>
            <w:t>1</w:t>
            <w:fldChar w:fldCharType="end"/>
          </w:r>
        </w:p>
      </w:tc>
    </w:tr>
  </w:tbl>
</w:ftr>
</file>

<file path=word/footer6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spacing w:after="0"/>
      <w:jc w:val="right"/>
    </w:pPr>
    <w:r>
      <w:rPr>
        <w:rFonts w:ascii="Inter Medium" w:hAnsi="Inter Medium" w:eastAsia="Inter Medium" w:cs="Inter Medium"/>
        <w:b w:val="0"/>
        <w:i w:val="0"/>
        <w:color w:val="5B626B"/>
        <w:sz w:val="14"/>
        <w:lang w:val="ru-RU"/>
      </w:rPr>
      <w:fldChar w:fldCharType="begin"/>
      <w:instrText xml:space="preserve">PAGE</w:instrText>
      <w:fldChar w:fldCharType="separate"/>
      <w:t>1</w:t>
      <w:fldChar w:fldCharType="end"/>
    </w:r>
  </w:p>
</w:ftr>
</file>

<file path=word/footer7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5853"/>
      <w:gridCol w:w="1715"/>
    </w:tblGrid>
    <w:tr>
      <w:trPr>
        <w:cantSplit w:val="1"/>
        <w:tblHeader w:val="true"/>
      </w:trPr>
      <w:tc>
        <w:tcPr>
          <w:tcW w:type="dxa" w:w="252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spacing w:after="0"/>
            <w:keepLines w:val="1"/>
            <w:widowControl w:val="1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 w:eastAsia="ru-RU" w:bidi="ru-RU"/>
            </w:rPr>
            <w:t>БИОСТРАТ · ДОГОВОР НА ОБСЛЕДОВАНИЕ</w:t>
          </w:r>
        </w:p>
      </w:tc>
      <w:tc>
        <w:tcPr>
          <w:tcW w:type="dxa" w:w="585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spacing w:after="0"/>
            <w:jc w:val="center"/>
            <w:keepLines w:val="1"/>
            <w:widowControl w:val="1"/>
          </w:pPr>
          <w:r>
            <w:rPr>
              <w:rFonts w:ascii="Inter Medium" w:hAnsi="Inter Medium" w:eastAsia="Inter Medium" w:cs="Inter Medium"/>
              <w:b/>
              <w:i w:val="0"/>
              <w:color w:val="0D5F2F"/>
              <w:sz w:val="13"/>
              <w:lang w:val="ru-RU" w:eastAsia="ru-RU" w:bidi="ru-RU"/>
            </w:rPr>
            <w:t>УТВЕРЖДЕНО</w:t>
          </w:r>
        </w:p>
      </w:tc>
      <w:tc>
        <w:tcPr>
          <w:tcW w:type="dxa" w:w="1715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spacing w:after="0"/>
            <w:jc w:val="right"/>
            <w:keepLines w:val="1"/>
            <w:widowControl w:val="1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 w:eastAsia="ru-RU" w:bidi="ru-RU"/>
            </w:rPr>
            <w:fldChar w:fldCharType="begin"/>
            <w:instrText xml:space="preserve">PAGE</w:instrText>
            <w:fldChar w:fldCharType="separate"/>
            <w:t>1</w:t>
            <w:fldChar w:fldCharType="end"/>
          </w:r>
          <w:r>
            <w:rPr>
              <w:rFonts w:ascii="Inter Medium" w:hAnsi="Inter Medium" w:eastAsia="Inter Medium" w:cs="Inter Medium"/>
              <w:b w:val="0"/>
              <w:i w:val="0"/>
              <w:color w:val="2D3136"/>
              <w:sz w:val="14"/>
              <w:lang w:val="ru-RU" w:eastAsia="ru-RU" w:bidi="ru-RU"/>
            </w:rPr>
            <w:t xml:space="preserve"> / </w:t>
          </w: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 w:eastAsia="ru-RU" w:bidi="ru-RU"/>
            </w:rPr>
            <w:fldChar w:fldCharType="begin"/>
            <w:instrText xml:space="preserve">NUMPAGES</w:instrText>
            <w:fldChar w:fldCharType="separate"/>
            <w:t>1</w:t>
            <w:fldChar w:fldCharType="end"/>
          </w:r>
        </w:p>
      </w:tc>
    </w:tr>
  </w:tbl>
</w:ftr>
</file>

<file path=word/footer8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/>
</file>

<file path=word/footnotes.xml><?xml version="1.0" encoding="utf-8"?>
<w:footnotes xmlns:w="http://schemas.openxmlformats.org/wordprocessingml/2006/main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before="0" w:after="0"/>
    </w:pPr>
    <w:r/>
  </w:p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220"/>
      <w:gridCol w:w="5651"/>
      <w:gridCol w:w="2220"/>
    </w:tblGrid>
    <w:tr>
      <w:trPr>
        <w:tblHeader w:val="true"/>
        <w:cantSplit/>
      </w:trPr>
      <w:tc>
        <w:tcPr>
          <w:tcW w:type="dxa" w:w="2220"/>
          <w:tcMar>
            <w:top w:w="60" w:type="dxa"/>
            <w:start w:w="90" w:type="dxa"/>
            <w:bottom w:w="60" w:type="dxa"/>
            <w:end w:w="90" w:type="dxa"/>
          </w:tcMar>
          <w:vAlign w:val="center"/>
          <w:shd w:fill="0D5F2F"/>
        </w:tcPr>
        <w:p>
          <w:pPr>
            <w:jc w:val="left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3"/>
              <w:lang w:val="ru-RU"/>
            </w:rPr>
            <w:t>БИОСТРАТ</w:t>
          </w:r>
        </w:p>
      </w:tc>
      <w:tc>
        <w:tcPr>
          <w:tcW w:type="dxa" w:w="5651"/>
          <w:tcMar>
            <w:top w:w="60" w:type="dxa"/>
            <w:start w:w="90" w:type="dxa"/>
            <w:bottom w:w="60" w:type="dxa"/>
            <w:end w:w="90" w:type="dxa"/>
          </w:tcMar>
          <w:vAlign w:val="center"/>
          <w:shd w:fill="2D3136"/>
        </w:tcPr>
        <w:p>
          <w:pPr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3"/>
              <w:lang w:val="ru-RU"/>
            </w:rPr>
            <w:t>НОВЫЕ ПОСТУЛАТЫ КОНСТИТУЦИИ</w:t>
          </w:r>
        </w:p>
      </w:tc>
      <w:tc>
        <w:tcPr>
          <w:tcW w:type="dxa" w:w="2220"/>
          <w:tcMar>
            <w:top w:w="60" w:type="dxa"/>
            <w:start w:w="90" w:type="dxa"/>
            <w:bottom w:w="60" w:type="dxa"/>
            <w:end w:w="90" w:type="dxa"/>
          </w:tcMar>
          <w:vAlign w:val="center"/>
          <w:shd w:fill="F28C28"/>
        </w:tcPr>
        <w:p>
          <w:pPr>
            <w:jc w:val="right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3"/>
              <w:lang w:val="ru-RU"/>
            </w:rPr>
            <w:t>INDUSTRIAL</w:t>
          </w:r>
        </w:p>
      </w:tc>
    </w:tr>
  </w:tbl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before="0" w:after="0"/>
    </w:pPr>
    <w:r/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6055"/>
      <w:gridCol w:w="1513"/>
    </w:tblGrid>
    <w:tr>
      <w:trPr>
        <w:cantSplit/>
        <w:tblHeader w:val="true"/>
      </w:trPr>
      <w:tc>
        <w:tcPr>
          <w:tcW w:type="dxa" w:w="252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0D5F2F"/>
        </w:tcPr>
        <w:p>
          <w:pPr>
            <w:keepLines/>
            <w:spacing w:after="0"/>
            <w:jc w:val="left"/>
          </w:pPr>
          <w:r>
            <w:rPr>
              <w:rFonts w:ascii="Inter SemiBold" w:hAnsi="Inter SemiBold" w:eastAsia="Inter SemiBold" w:cs="Inter SemiBold"/>
              <w:b/>
              <w:i w:val="0"/>
              <w:color w:val="FFFFFF"/>
              <w:sz w:val="14"/>
              <w:lang w:val="ru-RU"/>
            </w:rPr>
            <w:t>БИОСТРАТ</w:t>
          </w:r>
        </w:p>
      </w:tc>
      <w:tc>
        <w:tcPr>
          <w:tcW w:type="dxa" w:w="6055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2D3136"/>
        </w:tcPr>
        <w:p>
          <w:pPr>
            <w:keepLines/>
            <w:spacing w:after="0"/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3"/>
              <w:lang w:val="ru-RU"/>
            </w:rPr>
            <w:t>НОВЫЕ ПОСТУЛАТЫ КОНСТИТУЦИИ</w:t>
          </w:r>
        </w:p>
      </w:tc>
      <w:tc>
        <w:tcPr>
          <w:tcW w:type="dxa" w:w="151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F28C28"/>
        </w:tcPr>
        <w:p>
          <w:pPr>
            <w:keepLines/>
            <w:spacing w:after="0"/>
            <w:jc w:val="right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4"/>
              <w:lang w:val="ru-RU"/>
            </w:rPr>
            <w:t>v1.0</w:t>
          </w:r>
        </w:p>
      </w:tc>
    </w:tr>
  </w:tbl>
</w:hdr>
</file>

<file path=word/header4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6055"/>
      <w:gridCol w:w="1513"/>
    </w:tblGrid>
    <w:tr>
      <w:trPr>
        <w:cantSplit/>
        <w:tblHeader w:val="true"/>
      </w:trPr>
      <w:tc>
        <w:tcPr>
          <w:tcW w:type="dxa" w:w="252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0D5F2F"/>
        </w:tcPr>
        <w:p>
          <w:pPr>
            <w:spacing w:after="0"/>
            <w:jc w:val="left"/>
          </w:pPr>
          <w:r>
            <w:rPr>
              <w:rFonts w:ascii="Inter SemiBold" w:hAnsi="Inter SemiBold" w:eastAsia="Inter SemiBold" w:cs="Inter SemiBold"/>
              <w:b/>
              <w:i w:val="0"/>
              <w:color w:val="FFFFFF"/>
              <w:sz w:val="14"/>
              <w:lang w:val="ru-RU"/>
            </w:rPr>
            <w:t>БИОСТРАТ</w:t>
          </w:r>
        </w:p>
      </w:tc>
      <w:tc>
        <w:tcPr>
          <w:tcW w:type="dxa" w:w="6055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2D3136"/>
        </w:tcPr>
        <w:p>
          <w:pPr>
            <w:spacing w:after="0"/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3"/>
              <w:lang w:val="ru-RU"/>
            </w:rPr>
            <w:t>НОВЫЕ ПОСТУЛАТЫ КОНСТИТУЦИИ</w:t>
          </w:r>
        </w:p>
      </w:tc>
      <w:tc>
        <w:tcPr>
          <w:tcW w:type="dxa" w:w="151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F28C28"/>
        </w:tcPr>
        <w:p>
          <w:pPr>
            <w:spacing w:after="0"/>
            <w:jc w:val="right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4"/>
              <w:lang w:val="ru-RU"/>
            </w:rPr>
            <w:t>v1.0</w:t>
          </w:r>
        </w:p>
      </w:tc>
    </w:tr>
  </w:tbl>
</w:hdr>
</file>

<file path=word/header5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6055"/>
      <w:gridCol w:w="1513"/>
    </w:tblGrid>
    <w:tr>
      <w:trPr>
        <w:cantSplit/>
        <w:tblHeader w:val="true"/>
      </w:trPr>
      <w:tc>
        <w:tcPr>
          <w:tcW w:type="dxa" w:w="252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0D5F2F"/>
        </w:tcPr>
        <w:p>
          <w:pPr>
            <w:keepLines/>
            <w:spacing w:after="0"/>
            <w:jc w:val="left"/>
          </w:pPr>
          <w:r>
            <w:rPr>
              <w:rFonts w:ascii="Inter SemiBold" w:hAnsi="Inter SemiBold" w:eastAsia="Inter SemiBold" w:cs="Inter SemiBold"/>
              <w:b/>
              <w:i w:val="0"/>
              <w:color w:val="FFFFFF"/>
              <w:sz w:val="14"/>
              <w:lang w:val="ru-RU"/>
            </w:rPr>
            <w:t>БИОСТРАТ</w:t>
          </w:r>
        </w:p>
      </w:tc>
      <w:tc>
        <w:tcPr>
          <w:tcW w:type="dxa" w:w="6055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2D3136"/>
        </w:tcPr>
        <w:p>
          <w:pPr>
            <w:keepLines/>
            <w:spacing w:after="0"/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3"/>
              <w:lang w:val="ru-RU"/>
            </w:rPr>
            <w:t>НОВЫЕ ПОСТУЛАТЫ КОНСТИТУЦИИ</w:t>
          </w:r>
        </w:p>
      </w:tc>
      <w:tc>
        <w:tcPr>
          <w:tcW w:type="dxa" w:w="151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F28C28"/>
        </w:tcPr>
        <w:p>
          <w:pPr>
            <w:keepLines/>
            <w:spacing w:after="0"/>
            <w:jc w:val="right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4"/>
              <w:lang w:val="ru-RU"/>
            </w:rPr>
            <w:t>v1.0</w:t>
          </w:r>
        </w:p>
      </w:tc>
    </w:tr>
  </w:tbl>
</w:hdr>
</file>

<file path=word/header6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/>
</file>

<file path=word/header7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6055"/>
      <w:gridCol w:w="1513"/>
    </w:tblGrid>
    <w:tr>
      <w:trPr>
        <w:cantSplit w:val="1"/>
        <w:tblHeader w:val="true"/>
      </w:trPr>
      <w:tc>
        <w:tcPr>
          <w:tcW w:type="dxa" w:w="252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0D5F2F"/>
        </w:tcPr>
        <w:p>
          <w:pPr>
            <w:spacing w:after="0"/>
            <w:keepLines w:val="1"/>
            <w:widowControl w:val="1"/>
          </w:pPr>
          <w:r>
            <w:rPr>
              <w:rFonts w:ascii="Inter SemiBold" w:hAnsi="Inter SemiBold" w:eastAsia="Inter SemiBold" w:cs="Inter SemiBold"/>
              <w:b/>
              <w:i w:val="0"/>
              <w:color w:val="FFFFFF"/>
              <w:sz w:val="14"/>
              <w:lang w:val="ru-RU" w:eastAsia="ru-RU" w:bidi="ru-RU"/>
            </w:rPr>
            <w:t>БИОСТРАТ</w:t>
          </w:r>
        </w:p>
      </w:tc>
      <w:tc>
        <w:tcPr>
          <w:tcW w:type="dxa" w:w="6055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2D3136"/>
        </w:tcPr>
        <w:p>
          <w:pPr>
            <w:spacing w:after="0"/>
            <w:jc w:val="center"/>
            <w:keepLines w:val="1"/>
            <w:widowControl w:val="1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3"/>
              <w:lang w:val="ru-RU" w:eastAsia="ru-RU" w:bidi="ru-RU"/>
            </w:rPr>
            <w:t>ДОГОВОР НА ОБСЛЕДОВАНИЕ</w:t>
          </w:r>
        </w:p>
      </w:tc>
      <w:tc>
        <w:tcPr>
          <w:tcW w:type="dxa" w:w="151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F28C28"/>
        </w:tcPr>
        <w:p>
          <w:pPr>
            <w:spacing w:after="0"/>
            <w:jc w:val="right"/>
            <w:keepLines w:val="1"/>
            <w:widowControl w:val="1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4"/>
              <w:lang w:val="ru-RU" w:eastAsia="ru-RU" w:bidi="ru-RU"/>
            </w:rPr>
            <w:t>УТВЕРЖДЕНО</w:t>
          </w:r>
        </w:p>
      </w:tc>
    </w:tr>
  </w:tbl>
</w:hdr>
</file>

<file path=word/header8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/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singleLevel"/>
    <w:lvl w:ilvl="0">
      <w:start w:val="1"/>
      <w:numFmt w:val="bullet"/>
      <w:lvlText w:val="•"/>
      <w:suff w:val="space"/>
      <w:pPr>
        <w:tabs>
          <w:tab w:val="num" w:pos="652"/>
        </w:tabs>
        <w:ind w:left="652" w:hanging="227"/>
      </w:pPr>
      <w:rPr>
        <w:rFonts w:ascii="Inter" w:hAnsi="Inter" w:eastAsia="Inter" w:cs="Inter"/>
      </w:rPr>
    </w:lvl>
  </w:abstractNum>
  <w:num w:numId="10">
    <w:abstractNumId w:val="9"/>
  </w:num>
  <w:abstractNum w:abstractNumId="10">
    <w:multiLevelType w:val="singleLevel"/>
    <w:lvl w:ilvl="0">
      <w:start w:val="1"/>
      <w:numFmt w:val="decimal"/>
      <w:lvlText w:val="%1."/>
      <w:suff w:val="space"/>
      <w:pPr>
        <w:tabs>
          <w:tab w:val="num" w:pos="652"/>
        </w:tabs>
        <w:ind w:left="652" w:hanging="227"/>
      </w:pPr>
      <w:rPr>
        <w:rFonts w:ascii="Inter" w:hAnsi="Inter" w:eastAsia="Inter" w:cs="Inter"/>
      </w:rPr>
    </w:lvl>
  </w:abstractNum>
  <w:num w:numId="11">
    <w:abstractNumId w:val="10"/>
  </w:num>
  <w:abstractNum w:abstractNumId="11">
    <w:multiLevelType w:val="singleLevel"/>
    <w:lvl w:ilvl="0">
      <w:start w:val="1"/>
      <w:numFmt w:val="bullet"/>
      <w:lvlText w:val="•"/>
      <w:suff w:val="space"/>
      <w:pPr>
        <w:tabs>
          <w:tab w:val="num" w:pos="652"/>
        </w:tabs>
        <w:ind w:left="652" w:hanging="227"/>
      </w:pPr>
      <w:rPr>
        <w:rFonts w:ascii="Inter" w:hAnsi="Inter" w:eastAsia="Inter" w:cs="Inter"/>
      </w:rPr>
    </w:lvl>
  </w:abstractNum>
  <w:num w:numId="12">
    <w:abstractNumId w:val="11"/>
  </w:num>
  <w:abstractNum w:abstractNumId="12">
    <w:multiLevelType w:val="singleLevel"/>
    <w:lvl w:ilvl="0">
      <w:start w:val="1"/>
      <w:numFmt w:val="decimal"/>
      <w:lvlText w:val="%1."/>
      <w:suff w:val="space"/>
      <w:pPr>
        <w:tabs>
          <w:tab w:val="num" w:pos="652"/>
        </w:tabs>
        <w:ind w:left="652" w:hanging="227"/>
      </w:pPr>
      <w:rPr>
        <w:rFonts w:ascii="Inter" w:hAnsi="Inter" w:eastAsia="Inter" w:cs="Inter"/>
      </w:rPr>
    </w:lvl>
  </w:abstractNum>
  <w:num w:numId="13">
    <w:abstractNumId w:val="12"/>
  </w:num>
  <w:abstractNum w:abstractNumId="13">
    <w:multiLevelType w:val="singleLevel"/>
    <w:lvl w:ilvl="0">
      <w:start w:val="1"/>
      <w:numFmt w:val="bullet"/>
      <w:lvlText w:val="•"/>
      <w:suff w:val="space"/>
      <w:pPr>
        <w:tabs>
          <w:tab w:val="num" w:pos="652"/>
        </w:tabs>
        <w:ind w:left="652" w:hanging="227"/>
      </w:pPr>
      <w:rPr>
        <w:rFonts w:ascii="Inter" w:hAnsi="Inter" w:eastAsia="Inter" w:cs="Inter"/>
      </w:rPr>
    </w:lvl>
  </w:abstractNum>
  <w:num w:numId="14">
    <w:abstractNumId w:val="13"/>
  </w:num>
  <w:abstractNum w:abstractNumId="14">
    <w:multiLevelType w:val="singleLevel"/>
    <w:lvl w:ilvl="0">
      <w:start w:val="1"/>
      <w:numFmt w:val="decimal"/>
      <w:lvlText w:val="%1."/>
      <w:suff w:val="space"/>
      <w:pPr>
        <w:tabs>
          <w:tab w:val="num" w:pos="652"/>
        </w:tabs>
        <w:ind w:left="652" w:hanging="227"/>
      </w:pPr>
      <w:rPr>
        <w:rFonts w:ascii="Inter" w:hAnsi="Inter" w:eastAsia="Inter" w:cs="Inter"/>
      </w:rPr>
    </w:lvl>
  </w:abstractNum>
  <w:num w:numId="15">
    <w:abstractNumId w:val="14"/>
  </w:num>
  <w:num w:numId="16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ru-RU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keepNext w:val="0"/>
      <w:widowControl/>
      <w:spacing w:before="0" w:after="60" w:line="283" w:lineRule="auto"/>
      <w:jc w:val="left"/>
    </w:pPr>
    <w:rPr>
      <w:rFonts w:ascii="Inter" w:hAnsi="Inter" w:eastAsia="Inter" w:cs="Inter"/>
      <w:b w:val="0"/>
      <w:i w:val="0"/>
      <w:color w:val="2D3136"/>
      <w:sz w:val="18"/>
      <w:lang w:val="ru-RU" w:eastAsia="ru-RU" w:bidi="ru-RU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200" w:after="120" w:line="252" w:lineRule="auto"/>
      <w:outlineLvl w:val="0"/>
    </w:pPr>
    <w:rPr>
      <w:rFonts w:ascii="Inter SemiBold" w:hAnsi="Inter SemiBold" w:eastAsia="Inter SemiBold" w:cs="Inter SemiBold"/>
      <w:b/>
      <w:bCs/>
      <w:i w:val="0"/>
      <w:color w:val="000000"/>
      <w:sz w:val="37"/>
      <w:szCs w:val="28"/>
      <w:lang w:val="ru-RU" w:eastAsia="ru-RU" w:bidi="ru-R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160" w:after="80" w:line="259" w:lineRule="auto"/>
      <w:outlineLvl w:val="1"/>
    </w:pPr>
    <w:rPr>
      <w:rFonts w:ascii="Inter SemiBold" w:hAnsi="Inter SemiBold" w:eastAsia="Inter SemiBold" w:cs="Inter SemiBold"/>
      <w:b/>
      <w:bCs/>
      <w:i w:val="0"/>
      <w:color w:val="000000"/>
      <w:sz w:val="24"/>
      <w:szCs w:val="26"/>
      <w:lang w:val="ru-RU" w:eastAsia="ru-RU" w:bidi="ru-R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widowControl/>
      <w:spacing w:before="160" w:after="80" w:line="259" w:lineRule="auto"/>
      <w:outlineLvl w:val="2"/>
    </w:pPr>
    <w:rPr>
      <w:rFonts w:ascii="Inter Medium" w:hAnsi="Inter Medium" w:eastAsia="Inter Medium" w:cs="Inter Medium"/>
      <w:b/>
      <w:bCs/>
      <w:i w:val="0"/>
      <w:color w:val="000000"/>
      <w:sz w:val="21"/>
      <w:lang w:val="ru-RU" w:eastAsia="ru-RU" w:bidi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widowControl/>
      <w:spacing w:before="120" w:after="60" w:line="259" w:lineRule="auto"/>
      <w:outlineLvl w:val="3"/>
    </w:pPr>
    <w:rPr>
      <w:rFonts w:ascii="Inter Medium" w:hAnsi="Inter Medium" w:eastAsia="Inter Medium" w:cs="Inter Medium"/>
      <w:b/>
      <w:bCs/>
      <w:i w:val="0"/>
      <w:iCs/>
      <w:color w:val="000000"/>
      <w:sz w:val="18"/>
      <w:lang w:val="ru-RU" w:eastAsia="ru-RU" w:bidi="ru-R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widowControl/>
      <w:pBdr>
        <w:bottom w:val="single" w:sz="8" w:space="4" w:color="4F81BD" w:themeColor="accent1"/>
      </w:pBdr>
      <w:spacing w:after="160" w:line="245" w:lineRule="auto" w:before="0"/>
      <w:contextualSpacing/>
    </w:pPr>
    <w:rPr>
      <w:rFonts w:ascii="Inter SemiBold" w:hAnsi="Inter SemiBold" w:eastAsia="Inter SemiBold" w:cs="Inter SemiBold"/>
      <w:b/>
      <w:i w:val="0"/>
      <w:color w:val="000000"/>
      <w:spacing w:val="5"/>
      <w:kern w:val="28"/>
      <w:sz w:val="52"/>
      <w:szCs w:val="52"/>
      <w:lang w:val="ru-RU" w:eastAsia="ru-RU" w:bidi="ru-RU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 w:val="0"/>
      <w:widowControl/>
      <w:numPr>
        <w:ilvl w:val="1"/>
      </w:numPr>
      <w:spacing w:before="0" w:after="200" w:line="276" w:lineRule="auto"/>
    </w:pPr>
    <w:rPr>
      <w:rFonts w:ascii="Inter Medium" w:hAnsi="Inter Medium" w:eastAsia="Inter Medium" w:cs="Inter Medium"/>
      <w:b w:val="0"/>
      <w:i w:val="0"/>
      <w:iCs/>
      <w:color w:val="000000"/>
      <w:spacing w:val="15"/>
      <w:sz w:val="24"/>
      <w:szCs w:val="24"/>
      <w:lang w:val="ru-RU" w:eastAsia="ru-RU" w:bidi="ru-RU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keepNext w:val="0"/>
      <w:widowControl/>
      <w:spacing w:line="264" w:lineRule="auto" w:before="40" w:after="120"/>
    </w:pPr>
    <w:rPr>
      <w:rFonts w:ascii="Inter Medium" w:hAnsi="Inter Medium" w:eastAsia="Inter Medium" w:cs="Inter Medium"/>
      <w:b w:val="0"/>
      <w:bCs/>
      <w:i w:val="0"/>
      <w:color w:val="5B626B"/>
      <w:sz w:val="15"/>
      <w:szCs w:val="18"/>
      <w:lang w:val="ru-RU" w:eastAsia="ru-RU" w:bidi="ru-RU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ootnoteText">
    <w:name w:val="Footnote Text"/>
    <w:pPr>
      <w:keepNext w:val="0"/>
      <w:widowControl/>
      <w:spacing w:before="0" w:after="0" w:line="259" w:lineRule="auto"/>
    </w:pPr>
    <w:rPr>
      <w:rFonts w:ascii="Inter" w:hAnsi="Inter" w:eastAsia="Inter" w:cs="Inter"/>
      <w:b w:val="0"/>
      <w:i w:val="0"/>
      <w:color w:val="5B626B"/>
      <w:sz w:val="15"/>
      <w:lang w:val="ru-RU"/>
    </w:rPr>
  </w:style>
  <w:style w:type="character" w:customStyle="1" w:styleId="FootnoteReference">
    <w:name w:val="Footnote Reference"/>
    <w:rPr>
      <w:rFonts w:ascii="Inter Medium" w:hAnsi="Inter Medium" w:eastAsia="Inter Medium" w:cs="Inter Medium"/>
      <w:color w:val="5B626B"/>
      <w:sz w:val="15"/>
      <w:vertAlign w:val="superscript"/>
    </w:rPr>
  </w:style>
  <w:style w:type="paragraph" w:customStyle="1" w:styleId="BIOSTRATLegalNote">
    <w:name w:val="BIOSTRAT Legal Note"/>
    <w:pPr>
      <w:keepNext w:val="0"/>
      <w:widowControl/>
      <w:spacing w:before="40" w:after="40" w:line="283" w:lineRule="auto"/>
    </w:pPr>
    <w:rPr>
      <w:rFonts w:ascii="Inter" w:hAnsi="Inter" w:eastAsia="Inter" w:cs="Inter"/>
      <w:b w:val="0"/>
      <w:i w:val="0"/>
      <w:color w:val="5B626B"/>
      <w:sz w:val="15"/>
      <w:lang w:val="ru-RU"/>
    </w:rPr>
  </w:style>
  <w:style w:type="paragraph" w:customStyle="1" w:styleId="BIOSTRATTableHeader">
    <w:name w:val="BIOSTRAT Table Header"/>
    <w:pPr>
      <w:keepNext w:val="0"/>
      <w:widowControl/>
      <w:spacing w:before="0" w:after="0" w:line="259" w:lineRule="auto"/>
    </w:pPr>
    <w:rPr>
      <w:rFonts w:ascii="Inter Medium" w:hAnsi="Inter Medium" w:eastAsia="Inter Medium" w:cs="Inter Medium"/>
      <w:b/>
      <w:i w:val="0"/>
      <w:color w:val="FFFFFF"/>
      <w:sz w:val="14"/>
      <w:lang w:val="ru-RU" w:eastAsia="ru-RU" w:bidi="ru-RU"/>
    </w:rPr>
  </w:style>
  <w:style w:type="paragraph" w:customStyle="1" w:styleId="BIOSTRATTableCell">
    <w:name w:val="BIOSTRAT Table Cell"/>
    <w:pPr>
      <w:keepNext w:val="0"/>
      <w:widowControl/>
      <w:spacing w:before="0" w:after="0" w:line="269" w:lineRule="auto"/>
    </w:pPr>
    <w:rPr>
      <w:rFonts w:ascii="Inter" w:hAnsi="Inter" w:eastAsia="Inter" w:cs="Inter"/>
      <w:b w:val="0"/>
      <w:i w:val="0"/>
      <w:color w:val="2D3136"/>
      <w:sz w:val="14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1.png"/><Relationship Id="rId14" Type="http://schemas.openxmlformats.org/officeDocument/2006/relationships/image" Target="media/image2.png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otnotes" Target="footnotes.xml"/><Relationship Id="rId18" Type="http://schemas.openxmlformats.org/officeDocument/2006/relationships/header" Target="header4.xml"/><Relationship Id="rId19" Type="http://schemas.openxmlformats.org/officeDocument/2006/relationships/footer" Target="footer4.xml"/><Relationship Id="rId20" Type="http://schemas.openxmlformats.org/officeDocument/2006/relationships/header" Target="header5.xml"/><Relationship Id="rId21" Type="http://schemas.openxmlformats.org/officeDocument/2006/relationships/footer" Target="footer5.xml"/><Relationship Id="rId22" Type="http://schemas.openxmlformats.org/officeDocument/2006/relationships/header" Target="header6.xml"/><Relationship Id="rId23" Type="http://schemas.openxmlformats.org/officeDocument/2006/relationships/footer" Target="footer6.xml"/><Relationship Id="rId24" Type="http://schemas.openxmlformats.org/officeDocument/2006/relationships/header" Target="header7.xml"/><Relationship Id="rId25" Type="http://schemas.openxmlformats.org/officeDocument/2006/relationships/footer" Target="footer7.xml"/><Relationship Id="rId26" Type="http://schemas.openxmlformats.org/officeDocument/2006/relationships/header" Target="header8.xml"/><Relationship Id="rId27" Type="http://schemas.openxmlformats.org/officeDocument/2006/relationships/footer" Target="footer8.xml"/><Relationship Id="rId28" Type="http://schemas.openxmlformats.org/officeDocument/2006/relationships/hyperlink" Target="https://pravo.gov.ru/proxy/ips/?docbody=&amp;nd=102033239" TargetMode="External"/><Relationship Id="rId29" Type="http://schemas.openxmlformats.org/officeDocument/2006/relationships/hyperlink" Target="https://pravo.gov.ru/proxy/ips/?docbody=&amp;nd=102088606" TargetMode="External"/><Relationship Id="rId30" Type="http://schemas.openxmlformats.org/officeDocument/2006/relationships/hyperlink" Target="https://pravo.gov.ru/proxy/ips/?docbody=&amp;nd=102108261" TargetMode="External"/><Relationship Id="rId31" Type="http://schemas.openxmlformats.org/officeDocument/2006/relationships/hyperlink" Target="https://pravo.gov.ru/proxy/ips/?docbody=&amp;nd=102146610" TargetMode="External"/><Relationship Id="rId32" Type="http://schemas.openxmlformats.org/officeDocument/2006/relationships/hyperlink" Target="https://www.nalog.gov.ru/new202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оказания услуг по обследованию производственной площадки</dc:title>
  <dc:subject>Универсальный заполняемый шаблон БИОСТРАТ</dc:subject>
  <dc:creator/>
  <cp:keywords>БИОСТРАТ, персональные данные, правовая информация, конфиденциальность</cp:keywords>
  <dc:description>BIOSTRAT Document Standard v1.0; правовая проверка по официальным источникам на 02.08.2026.</dc:description>
  <cp:lastModifiedBy/>
  <cp:revision>1</cp:revision>
  <dcterms:created xsi:type="dcterms:W3CDTF">2026-09-07T00:00:00Z</dcterms:created>
  <dcterms:modified xsi:type="dcterms:W3CDTF">2026-09-07T00:00:00Z</dcterms:modified>
  <cp:category>Договорные документы БИОСТРАТ</cp:category>
</cp:coreProperties>
</file>